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8633E7" w14:paraId="182869B1" w14:textId="77777777" w:rsidTr="007E1D85">
        <w:tc>
          <w:tcPr>
            <w:tcW w:w="5211" w:type="dxa"/>
            <w:hideMark/>
          </w:tcPr>
          <w:p w14:paraId="3A615470" w14:textId="77777777" w:rsidR="007E1D85" w:rsidRPr="008330E7" w:rsidRDefault="007E1D85" w:rsidP="00227DAE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42F1131F" w14:textId="77777777" w:rsidR="00084813" w:rsidRPr="008633E7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8633E7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35775C36" w14:textId="77777777" w:rsidR="00084813" w:rsidRPr="008633E7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3F195630" w14:textId="77777777" w:rsidR="00084813" w:rsidRPr="008633E7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РГУ «</w:t>
            </w:r>
            <w:proofErr w:type="gramStart"/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Комитет </w:t>
            </w:r>
            <w:r w:rsidRPr="008633E7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</w:t>
            </w:r>
            <w:proofErr w:type="gramEnd"/>
            <w:r w:rsidRPr="008633E7">
              <w:rPr>
                <w:rFonts w:ascii="Times New Roman" w:eastAsiaTheme="minorHAnsi" w:hAnsi="Times New Roman"/>
                <w:sz w:val="28"/>
                <w:szCs w:val="28"/>
              </w:rPr>
              <w:t xml:space="preserve"> и фармацевтического контроля  </w:t>
            </w: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14:paraId="4A0C4FB8" w14:textId="77777777" w:rsidR="00084813" w:rsidRPr="008633E7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555B2F58" w14:textId="702ACBE6" w:rsidR="00084813" w:rsidRPr="008633E7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proofErr w:type="gramStart"/>
            <w:r w:rsidR="00875C2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15</w:t>
            </w: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875C2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05</w:t>
            </w:r>
            <w:proofErr w:type="gramEnd"/>
            <w:r w:rsidR="00875C2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  </w:t>
            </w: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875C28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25 </w:t>
            </w: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26341338" w14:textId="67ACFA69" w:rsidR="00084813" w:rsidRPr="00875C28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8633E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</w:t>
            </w:r>
            <w:r w:rsidR="00875C28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N085920</w:t>
            </w:r>
          </w:p>
          <w:p w14:paraId="36D2136D" w14:textId="77777777" w:rsidR="00523D82" w:rsidRPr="008633E7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4400C66" w14:textId="77777777" w:rsidR="00523D82" w:rsidRPr="008633E7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8633E7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8633E7" w14:paraId="17C3F54F" w14:textId="77777777" w:rsidTr="007E1D85">
        <w:tc>
          <w:tcPr>
            <w:tcW w:w="5211" w:type="dxa"/>
          </w:tcPr>
          <w:p w14:paraId="616B6D76" w14:textId="77777777" w:rsidR="00523D82" w:rsidRPr="008633E7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153309D" w14:textId="77777777" w:rsidR="00523D82" w:rsidRPr="008633E7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F7CF4B1" w14:textId="77777777" w:rsidR="00523D82" w:rsidRPr="008633E7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8633E7" w14:paraId="3B1F9907" w14:textId="77777777" w:rsidTr="007E1D85">
        <w:trPr>
          <w:trHeight w:val="80"/>
        </w:trPr>
        <w:tc>
          <w:tcPr>
            <w:tcW w:w="5211" w:type="dxa"/>
          </w:tcPr>
          <w:p w14:paraId="53A6845B" w14:textId="77777777" w:rsidR="00523D82" w:rsidRPr="008633E7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6307ACA" w14:textId="77777777" w:rsidR="00523D82" w:rsidRPr="008633E7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CE36827" w14:textId="77777777" w:rsidR="00523D82" w:rsidRPr="008633E7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63E7AEF" w14:textId="77777777" w:rsidR="00D76048" w:rsidRPr="008633E7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65FEF10C" w14:textId="77777777" w:rsidR="00D76048" w:rsidRPr="008633E7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00724B7B" w14:textId="77777777" w:rsidR="002C76D7" w:rsidRPr="008633E7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C6534C" w14:textId="77777777" w:rsidR="002C76D7" w:rsidRPr="008633E7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766B7E" w14:textId="77777777" w:rsidR="002C76D7" w:rsidRPr="008633E7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406A0C1" w14:textId="77777777" w:rsidR="002C76D7" w:rsidRPr="008633E7" w:rsidRDefault="00227DA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8633E7">
        <w:rPr>
          <w:rFonts w:ascii="Times New Roman" w:eastAsia="Times New Roman" w:hAnsi="Times New Roman"/>
          <w:bCs/>
          <w:sz w:val="28"/>
          <w:szCs w:val="28"/>
          <w:lang w:eastAsia="ru-RU"/>
        </w:rPr>
        <w:t>Азапан</w:t>
      </w:r>
      <w:proofErr w:type="spellEnd"/>
    </w:p>
    <w:p w14:paraId="1D52001B" w14:textId="77777777" w:rsidR="00227DAE" w:rsidRPr="008633E7" w:rsidRDefault="00227DA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DAC62D" w14:textId="77777777" w:rsidR="002C76D7" w:rsidRPr="008633E7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7CF1994A" w14:textId="77777777" w:rsidR="002C76D7" w:rsidRPr="008633E7" w:rsidRDefault="00227DA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8633E7">
        <w:rPr>
          <w:rFonts w:ascii="Times New Roman" w:eastAsia="Times New Roman" w:hAnsi="Times New Roman"/>
          <w:bCs/>
          <w:sz w:val="28"/>
          <w:szCs w:val="28"/>
          <w:lang w:eastAsia="ru-RU"/>
        </w:rPr>
        <w:t>Азацитидин</w:t>
      </w:r>
      <w:proofErr w:type="spellEnd"/>
    </w:p>
    <w:p w14:paraId="5B92B048" w14:textId="77777777" w:rsidR="00227DAE" w:rsidRPr="008633E7" w:rsidRDefault="00227DA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5819280" w14:textId="77777777" w:rsidR="00D76048" w:rsidRPr="008633E7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76DDF1E4" w14:textId="77777777" w:rsidR="00B01011" w:rsidRPr="008633E7" w:rsidRDefault="00227DA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>Лиофилизат</w:t>
      </w:r>
      <w:proofErr w:type="spellEnd"/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приготовления суспензии для подкожного введения, 100 мг</w:t>
      </w:r>
    </w:p>
    <w:p w14:paraId="3B95BD47" w14:textId="77777777" w:rsidR="00227DAE" w:rsidRPr="008633E7" w:rsidRDefault="00227DA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B1399" w14:textId="77777777" w:rsidR="002C1660" w:rsidRPr="008633E7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633E7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633E7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633E7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447BC75F" w14:textId="77777777" w:rsidR="00D17C26" w:rsidRPr="008633E7" w:rsidRDefault="00D17C26" w:rsidP="00D17C2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633E7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 xml:space="preserve"> и иммуномодулирующие препараты. </w:t>
      </w:r>
      <w:proofErr w:type="spellStart"/>
      <w:r w:rsidRPr="008633E7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 xml:space="preserve"> препараты. Антиметаболиты. Пиримидиновые аналоги. </w:t>
      </w:r>
      <w:proofErr w:type="spellStart"/>
      <w:r w:rsidRPr="008633E7">
        <w:rPr>
          <w:rFonts w:ascii="Times New Roman" w:hAnsi="Times New Roman"/>
          <w:color w:val="000000"/>
          <w:sz w:val="28"/>
          <w:szCs w:val="28"/>
        </w:rPr>
        <w:t>Азацитидин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>.</w:t>
      </w:r>
    </w:p>
    <w:p w14:paraId="5B9C6BD7" w14:textId="77777777" w:rsidR="00D17C26" w:rsidRPr="008633E7" w:rsidRDefault="00D17C26" w:rsidP="00D17C2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</w:rPr>
        <w:t>Код ATХ L01BC07</w:t>
      </w:r>
    </w:p>
    <w:p w14:paraId="1AE1F944" w14:textId="77777777" w:rsidR="002C76D7" w:rsidRPr="008633E7" w:rsidRDefault="002C76D7" w:rsidP="00D17C26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24573A" w14:textId="77777777" w:rsidR="002C76D7" w:rsidRPr="008633E7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</w:rPr>
      </w:pPr>
      <w:r w:rsidRPr="008633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633E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0F334EC0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Азапан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применяется для лечения взрослых пациентов, которым не может быть выполнена трансплантация гемопоэтических стволовых клеток (ТГСК), имеющих:</w:t>
      </w:r>
    </w:p>
    <w:p w14:paraId="3E60C6D6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миелодиспластический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синдром (МДС) с высокой или промежуточной-2 степенью риска в соответствии со шкалой </w:t>
      </w:r>
      <w:r w:rsidRPr="0009156F">
        <w:rPr>
          <w:rFonts w:ascii="Times New Roman" w:hAnsi="Times New Roman"/>
          <w:color w:val="000000"/>
          <w:sz w:val="28"/>
          <w:szCs w:val="28"/>
          <w:lang w:val="en-US"/>
        </w:rPr>
        <w:t>IPSS</w:t>
      </w:r>
      <w:r w:rsidRPr="0009156F">
        <w:rPr>
          <w:rFonts w:ascii="Times New Roman" w:hAnsi="Times New Roman"/>
          <w:color w:val="000000"/>
          <w:sz w:val="28"/>
          <w:szCs w:val="28"/>
        </w:rPr>
        <w:t xml:space="preserve"> (Международная прогностическая система баллов)</w:t>
      </w:r>
    </w:p>
    <w:p w14:paraId="21B8C43B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09156F">
        <w:rPr>
          <w:rFonts w:ascii="Times New Roman" w:hAnsi="Times New Roman"/>
          <w:color w:val="000000"/>
          <w:sz w:val="28"/>
          <w:szCs w:val="28"/>
        </w:rPr>
        <w:t xml:space="preserve">хронический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миеломоноцитарный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лейкоз (ХММЛ) без признаков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миелодиспластического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синдрома и с содержанием бластов в костном мозге 10-29%</w:t>
      </w:r>
    </w:p>
    <w:p w14:paraId="484CBFA9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09156F">
        <w:rPr>
          <w:rFonts w:ascii="Times New Roman" w:hAnsi="Times New Roman"/>
          <w:color w:val="000000"/>
          <w:sz w:val="28"/>
          <w:szCs w:val="28"/>
        </w:rPr>
        <w:t xml:space="preserve">острый миелоидный лейкоз (ОМЛ) с содержанием бластов 20-30% и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мультилинейной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дисплазией в соответствии с классификацией Всемирной Организации Здравоохранения (ВОЗ)</w:t>
      </w:r>
    </w:p>
    <w:p w14:paraId="43618106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6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- </w:t>
      </w:r>
      <w:r w:rsidRPr="0009156F">
        <w:rPr>
          <w:rFonts w:ascii="Times New Roman" w:hAnsi="Times New Roman"/>
          <w:color w:val="000000"/>
          <w:sz w:val="28"/>
          <w:szCs w:val="28"/>
        </w:rPr>
        <w:t>ОМЛ с содержанием бластов в костном мозге свыше 30% в соответствии с классификацией ВОЗ.</w:t>
      </w:r>
    </w:p>
    <w:p w14:paraId="0E9F99BA" w14:textId="77777777" w:rsidR="00227DAE" w:rsidRPr="008633E7" w:rsidRDefault="00227DAE" w:rsidP="00227DA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D9202E" w14:textId="77777777" w:rsidR="00DB406A" w:rsidRPr="008633E7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73B4539C" w14:textId="77777777" w:rsidR="007D0E84" w:rsidRPr="008633E7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67F86BC6" w14:textId="77777777" w:rsidR="00B744C9" w:rsidRPr="008633E7" w:rsidRDefault="00C771F1" w:rsidP="00227D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744C9" w:rsidRPr="008633E7">
        <w:rPr>
          <w:rFonts w:ascii="Times New Roman" w:hAnsi="Times New Roman"/>
          <w:sz w:val="28"/>
          <w:szCs w:val="28"/>
        </w:rPr>
        <w:t xml:space="preserve"> гиперчувствительность к </w:t>
      </w:r>
      <w:proofErr w:type="spellStart"/>
      <w:r w:rsidR="00B744C9" w:rsidRPr="008633E7">
        <w:rPr>
          <w:rFonts w:ascii="Times New Roman" w:hAnsi="Times New Roman"/>
          <w:sz w:val="28"/>
          <w:szCs w:val="28"/>
        </w:rPr>
        <w:t>азацитидину</w:t>
      </w:r>
      <w:proofErr w:type="spellEnd"/>
      <w:r w:rsidR="00B744C9" w:rsidRPr="008633E7">
        <w:rPr>
          <w:rFonts w:ascii="Times New Roman" w:hAnsi="Times New Roman"/>
          <w:sz w:val="28"/>
          <w:szCs w:val="28"/>
        </w:rPr>
        <w:t xml:space="preserve"> или к любому из вспомогательных веществ, перечисленных в разделе «Состав»</w:t>
      </w:r>
    </w:p>
    <w:p w14:paraId="404B7E8B" w14:textId="77777777" w:rsidR="0009156F" w:rsidRPr="0009156F" w:rsidRDefault="00C771F1" w:rsidP="00091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bookmarkStart w:id="1" w:name="_Hlk196492933"/>
      <w:r w:rsidR="00C5215D">
        <w:rPr>
          <w:rFonts w:ascii="Times New Roman" w:hAnsi="Times New Roman"/>
          <w:sz w:val="28"/>
          <w:szCs w:val="28"/>
        </w:rPr>
        <w:t>п</w:t>
      </w:r>
      <w:r w:rsidR="00C5215D" w:rsidRPr="00C5215D">
        <w:rPr>
          <w:rFonts w:ascii="Times New Roman" w:hAnsi="Times New Roman"/>
          <w:sz w:val="28"/>
          <w:szCs w:val="28"/>
        </w:rPr>
        <w:t>рогрессирующие злокачественные опухоли печени</w:t>
      </w:r>
      <w:bookmarkEnd w:id="1"/>
    </w:p>
    <w:p w14:paraId="2B427EC0" w14:textId="77777777" w:rsidR="0009156F" w:rsidRDefault="00C771F1" w:rsidP="00091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09156F" w:rsidRPr="0009156F">
        <w:rPr>
          <w:rFonts w:ascii="Times New Roman" w:hAnsi="Times New Roman"/>
          <w:sz w:val="28"/>
          <w:szCs w:val="28"/>
        </w:rPr>
        <w:t xml:space="preserve"> </w:t>
      </w:r>
      <w:bookmarkStart w:id="2" w:name="_Hlk196492925"/>
      <w:r w:rsidR="0009156F" w:rsidRPr="0009156F">
        <w:rPr>
          <w:rFonts w:ascii="Times New Roman" w:hAnsi="Times New Roman"/>
          <w:sz w:val="28"/>
          <w:szCs w:val="28"/>
        </w:rPr>
        <w:t xml:space="preserve">период кормления грудью </w:t>
      </w:r>
      <w:bookmarkEnd w:id="2"/>
    </w:p>
    <w:p w14:paraId="310566F0" w14:textId="77777777" w:rsidR="007D0E84" w:rsidRPr="008633E7" w:rsidRDefault="007D0E84" w:rsidP="0009156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74AE133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color w:val="000000"/>
          <w:sz w:val="28"/>
          <w:szCs w:val="28"/>
        </w:rPr>
        <w:t xml:space="preserve">Данные исследований </w:t>
      </w:r>
      <w:r w:rsidRPr="0009156F">
        <w:rPr>
          <w:rFonts w:ascii="Times New Roman" w:hAnsi="Times New Roman"/>
          <w:i/>
          <w:color w:val="000000"/>
          <w:sz w:val="28"/>
          <w:szCs w:val="28"/>
          <w:lang w:val="en-US"/>
        </w:rPr>
        <w:t>in</w:t>
      </w:r>
      <w:r w:rsidRPr="0009156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09156F">
        <w:rPr>
          <w:rFonts w:ascii="Times New Roman" w:hAnsi="Times New Roman"/>
          <w:i/>
          <w:color w:val="000000"/>
          <w:sz w:val="28"/>
          <w:szCs w:val="28"/>
          <w:lang w:val="en-US"/>
        </w:rPr>
        <w:t>vitro</w:t>
      </w:r>
      <w:r w:rsidRPr="0009156F">
        <w:rPr>
          <w:rFonts w:ascii="Times New Roman" w:hAnsi="Times New Roman"/>
          <w:color w:val="000000"/>
          <w:sz w:val="28"/>
          <w:szCs w:val="28"/>
        </w:rPr>
        <w:t xml:space="preserve"> свидетельствуют о том, что участие изоферментов системы цитохрома Р450, </w:t>
      </w:r>
      <w:r w:rsidRPr="0009156F">
        <w:rPr>
          <w:rFonts w:ascii="Times New Roman" w:hAnsi="Times New Roman"/>
          <w:color w:val="000000"/>
          <w:sz w:val="28"/>
          <w:szCs w:val="28"/>
          <w:lang w:val="en-US"/>
        </w:rPr>
        <w:t>UDP</w:t>
      </w:r>
      <w:r w:rsidRPr="0009156F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глюкуронилтрансферазы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сульфотрансферазы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глютатионтрансферазы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в метаболизме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азацитидина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маловероятно. </w:t>
      </w:r>
    </w:p>
    <w:p w14:paraId="4EAE3D77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color w:val="000000"/>
          <w:sz w:val="28"/>
          <w:szCs w:val="28"/>
        </w:rPr>
        <w:t xml:space="preserve">В связи с этим, взаимодействие </w:t>
      </w:r>
      <w:r w:rsidRPr="0009156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</w:t>
      </w:r>
      <w:r w:rsidRPr="0009156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9156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vivo</w:t>
      </w:r>
      <w:r w:rsidRPr="0009156F">
        <w:rPr>
          <w:rFonts w:ascii="Times New Roman" w:hAnsi="Times New Roman"/>
          <w:color w:val="000000"/>
          <w:sz w:val="28"/>
          <w:szCs w:val="28"/>
        </w:rPr>
        <w:t xml:space="preserve"> с данными ферментами, участвующими в метаболизме, не представляется клинически значимым.</w:t>
      </w:r>
    </w:p>
    <w:p w14:paraId="0D78D334" w14:textId="77777777" w:rsidR="0009156F" w:rsidRPr="0009156F" w:rsidRDefault="0009156F" w:rsidP="0009156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color w:val="000000"/>
          <w:sz w:val="28"/>
          <w:szCs w:val="28"/>
        </w:rPr>
        <w:t xml:space="preserve">Клинически значимое ингибирующее или индуцирующее действие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азацитидина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на ферменты цитохрома Р450 маловероятно.</w:t>
      </w:r>
    </w:p>
    <w:p w14:paraId="6F4B249D" w14:textId="77777777" w:rsidR="0009156F" w:rsidRPr="0009156F" w:rsidRDefault="0009156F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156F">
        <w:rPr>
          <w:rFonts w:ascii="Times New Roman" w:hAnsi="Times New Roman"/>
          <w:color w:val="000000"/>
          <w:sz w:val="28"/>
          <w:szCs w:val="28"/>
        </w:rPr>
        <w:t xml:space="preserve">Клинических исследований для изучения взаимодействия </w:t>
      </w:r>
      <w:proofErr w:type="spellStart"/>
      <w:r w:rsidRPr="0009156F">
        <w:rPr>
          <w:rFonts w:ascii="Times New Roman" w:hAnsi="Times New Roman"/>
          <w:color w:val="000000"/>
          <w:sz w:val="28"/>
          <w:szCs w:val="28"/>
        </w:rPr>
        <w:t>азацитидина</w:t>
      </w:r>
      <w:proofErr w:type="spellEnd"/>
      <w:r w:rsidRPr="0009156F">
        <w:rPr>
          <w:rFonts w:ascii="Times New Roman" w:hAnsi="Times New Roman"/>
          <w:color w:val="000000"/>
          <w:sz w:val="28"/>
          <w:szCs w:val="28"/>
        </w:rPr>
        <w:t xml:space="preserve"> с другими лекарственными препаратами не проводилось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0C89A1D" w14:textId="77777777" w:rsidR="00D43297" w:rsidRPr="008633E7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1ACD26C6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458F">
        <w:rPr>
          <w:rFonts w:ascii="Times New Roman" w:hAnsi="Times New Roman"/>
          <w:i/>
          <w:iCs/>
          <w:sz w:val="28"/>
          <w:szCs w:val="28"/>
        </w:rPr>
        <w:t>Гематологическая токсичность</w:t>
      </w:r>
    </w:p>
    <w:p w14:paraId="4B554468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Наиболее частыми побочными эффектами при лечении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азацитидином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>, преимущественно в течение первых 2 циклов, являлись тромбоцитопения, нейтропения и лейкопения. При необходимости и по меньшей мере перед каждым циклом лечения следует выполнять развернутый клинический анализ крови для контроля эффективности терапии и возможных проявлений токсичности. После введения рекомендованной дозы первого цикла доза для следующего цикла может быть снижена или ее введение может быть отложено на основании оценки надира и гематологического ответа. Пациентам рекомендуют немедленно сообщать о повышении температуры тела (лихорадке). Медицинский персонал и пациент должны получить указания о необходимости контролировать признаки и симптомы, позволяющие диагностировать кровотечение.</w:t>
      </w:r>
    </w:p>
    <w:p w14:paraId="212E38C1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458F">
        <w:rPr>
          <w:rFonts w:ascii="Times New Roman" w:hAnsi="Times New Roman"/>
          <w:i/>
          <w:iCs/>
          <w:sz w:val="28"/>
          <w:szCs w:val="28"/>
        </w:rPr>
        <w:t>Печеночная недостаточность</w:t>
      </w:r>
    </w:p>
    <w:p w14:paraId="0543F7F8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Специальных исследований с участием больных с нарушениями функции печени не проводилось. У пациентов с обширным опухолевым поражением на фоне метастатического процесса во время лечения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азацитидином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сообщалось о случаях прогрессирующей печёночной комы и летального исхода, особенно у тех, у кого исходный уровень альбумина в сыворотке был ниже 30 г/л.</w:t>
      </w:r>
    </w:p>
    <w:p w14:paraId="1B8C8CE2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противопоказан пациентам с запущенными злокачественными опухолями печени.</w:t>
      </w:r>
    </w:p>
    <w:p w14:paraId="7A057EE2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458F">
        <w:rPr>
          <w:rFonts w:ascii="Times New Roman" w:hAnsi="Times New Roman"/>
          <w:i/>
          <w:iCs/>
          <w:sz w:val="28"/>
          <w:szCs w:val="28"/>
        </w:rPr>
        <w:lastRenderedPageBreak/>
        <w:t>Почечная недостаточность</w:t>
      </w:r>
    </w:p>
    <w:p w14:paraId="3FE19A90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Сообщалось о случаях нарушения функции почек — от повышения уровня креатинина в сыворотке до почечной недостаточности и летального исхода — у пациентов, получавших внутривенный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в комбинации с другими химиотерапевтическими средствами.</w:t>
      </w:r>
    </w:p>
    <w:p w14:paraId="4CF366E5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Кроме того, у 5 пациентов с хроническим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миелолейкозом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(ХМЛ), получавших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в комбинации с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этопозидом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, развился почечный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канальцевый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ацидоз, который определялся как снижение уровня бикарбоната в сыворотке </w:t>
      </w:r>
      <w:proofErr w:type="gramStart"/>
      <w:r w:rsidRPr="0055458F">
        <w:rPr>
          <w:rFonts w:ascii="Times New Roman" w:hAnsi="Times New Roman"/>
          <w:iCs/>
          <w:sz w:val="28"/>
          <w:szCs w:val="28"/>
        </w:rPr>
        <w:t>&lt; 20</w:t>
      </w:r>
      <w:proofErr w:type="gramEnd"/>
      <w:r w:rsidRPr="0055458F">
        <w:rPr>
          <w:rFonts w:ascii="Times New Roman" w:hAnsi="Times New Roman"/>
          <w:iCs/>
          <w:sz w:val="28"/>
          <w:szCs w:val="28"/>
        </w:rPr>
        <w:t xml:space="preserve"> ммоль/л в сочетании с щелочной реакцией мочи и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гипокалиемией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(калий в сыворотке &lt; 3 ммоль/л).</w:t>
      </w:r>
    </w:p>
    <w:p w14:paraId="30BF3E34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При необъяснимом снижении бикарбоната </w:t>
      </w:r>
      <w:proofErr w:type="gramStart"/>
      <w:r w:rsidRPr="0055458F">
        <w:rPr>
          <w:rFonts w:ascii="Times New Roman" w:hAnsi="Times New Roman"/>
          <w:iCs/>
          <w:sz w:val="28"/>
          <w:szCs w:val="28"/>
        </w:rPr>
        <w:t>(&lt; 20</w:t>
      </w:r>
      <w:proofErr w:type="gramEnd"/>
      <w:r w:rsidRPr="0055458F">
        <w:rPr>
          <w:rFonts w:ascii="Times New Roman" w:hAnsi="Times New Roman"/>
          <w:iCs/>
          <w:sz w:val="28"/>
          <w:szCs w:val="28"/>
        </w:rPr>
        <w:t xml:space="preserve"> ммоль/л), а также при повышении креатинина в сыворотке или мочевины (BUN), дозу препарата следует снизить или отложить введение.</w:t>
      </w:r>
    </w:p>
    <w:p w14:paraId="33C210A8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Пациентам следует немедленно сообщать врачу о появлении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олигоурии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(уменьшение объема мочи) или анурии (отсутствие мочеиспускания).</w:t>
      </w:r>
    </w:p>
    <w:p w14:paraId="3705C69D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Хотя клинически значимых различий в частоте побочных реакций у пациентов с нормальной функцией почек и нарушенной функцией почек не наблюдалось, пациенты с почечной недостаточностью должны находиться под тщательным наблюдением на предмет токсичности, поскольку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и/или его метаболиты выводятся преимущественно почками.</w:t>
      </w:r>
    </w:p>
    <w:p w14:paraId="73A136BF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458F">
        <w:rPr>
          <w:rFonts w:ascii="Times New Roman" w:hAnsi="Times New Roman"/>
          <w:i/>
          <w:iCs/>
          <w:sz w:val="28"/>
          <w:szCs w:val="28"/>
        </w:rPr>
        <w:t>Лабораторные тесты</w:t>
      </w:r>
    </w:p>
    <w:p w14:paraId="0ABE22B1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>Показатели функции печени, уровень креатинина в сыворотке и бикарбоната в сыворотке необходимо определять до начала терапии и перед каждым курсом лечения.</w:t>
      </w:r>
    </w:p>
    <w:p w14:paraId="3B45A9F5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>Развёрнутый общий анализ крови должен проводиться до начала терапии и по мере необходимости для оценки ответа на лечение и выявления токсичности, но как минимум — перед каждым циклом терапии.</w:t>
      </w:r>
    </w:p>
    <w:p w14:paraId="7A95E4AE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458F">
        <w:rPr>
          <w:rFonts w:ascii="Times New Roman" w:hAnsi="Times New Roman"/>
          <w:i/>
          <w:iCs/>
          <w:sz w:val="28"/>
          <w:szCs w:val="28"/>
        </w:rPr>
        <w:t>Сердечно-сосудистые и легочные заболевания</w:t>
      </w:r>
    </w:p>
    <w:p w14:paraId="6372EEC1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>Пациенты, страдающие тяжелой застойной сердечной недостаточностью, клинически нестабильным заболеванием сердца или заболеваниями легких, не были включены в основные регистрационные исследования (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AZA</w:t>
      </w:r>
      <w:r w:rsidRPr="0055458F">
        <w:rPr>
          <w:rFonts w:ascii="Times New Roman" w:hAnsi="Times New Roman"/>
          <w:iCs/>
          <w:sz w:val="28"/>
          <w:szCs w:val="28"/>
        </w:rPr>
        <w:t xml:space="preserve"> 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PH</w:t>
      </w:r>
      <w:r w:rsidRPr="0055458F">
        <w:rPr>
          <w:rFonts w:ascii="Times New Roman" w:hAnsi="Times New Roman"/>
          <w:iCs/>
          <w:sz w:val="28"/>
          <w:szCs w:val="28"/>
        </w:rPr>
        <w:t xml:space="preserve"> 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GL</w:t>
      </w:r>
      <w:r w:rsidRPr="0055458F">
        <w:rPr>
          <w:rFonts w:ascii="Times New Roman" w:hAnsi="Times New Roman"/>
          <w:iCs/>
          <w:sz w:val="28"/>
          <w:szCs w:val="28"/>
        </w:rPr>
        <w:t xml:space="preserve"> 2003 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CL</w:t>
      </w:r>
      <w:r w:rsidRPr="0055458F">
        <w:rPr>
          <w:rFonts w:ascii="Times New Roman" w:hAnsi="Times New Roman"/>
          <w:iCs/>
          <w:sz w:val="28"/>
          <w:szCs w:val="28"/>
        </w:rPr>
        <w:t xml:space="preserve"> 001 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and</w:t>
      </w:r>
      <w:r w:rsidRPr="0055458F">
        <w:rPr>
          <w:rFonts w:ascii="Times New Roman" w:hAnsi="Times New Roman"/>
          <w:iCs/>
          <w:sz w:val="28"/>
          <w:szCs w:val="28"/>
        </w:rPr>
        <w:t xml:space="preserve"> 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AZA</w:t>
      </w:r>
      <w:r w:rsidRPr="0055458F">
        <w:rPr>
          <w:rFonts w:ascii="Times New Roman" w:hAnsi="Times New Roman"/>
          <w:iCs/>
          <w:sz w:val="28"/>
          <w:szCs w:val="28"/>
        </w:rPr>
        <w:t>-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AML</w:t>
      </w:r>
      <w:r w:rsidRPr="0055458F">
        <w:rPr>
          <w:rFonts w:ascii="Times New Roman" w:hAnsi="Times New Roman"/>
          <w:iCs/>
          <w:sz w:val="28"/>
          <w:szCs w:val="28"/>
        </w:rPr>
        <w:t xml:space="preserve">-001), поэтому безопасность и эффективность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азацитидина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для них не установлена. Данные, полученные в ходе недавних клинических исследований у пациентов, имеющих в анамнезе сердечно-сосудистые заболевания или заболевания легких, показали, что частота нежелательных сердечно-сосудистых явлений существенно выше на фоне терапии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азацитидином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, поэтому данной категории больных препарат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Азапан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следует назначать с осторожностью. До начала лечения и во время терапии препаратом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Азапан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рекомендуется оценивать функциональное состояние сердечно-сосудистой и легочной системы.</w:t>
      </w:r>
    </w:p>
    <w:p w14:paraId="4B3E5295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5458F">
        <w:rPr>
          <w:rFonts w:ascii="Times New Roman" w:hAnsi="Times New Roman"/>
          <w:i/>
          <w:iCs/>
          <w:sz w:val="28"/>
          <w:szCs w:val="28"/>
        </w:rPr>
        <w:t>Некротизирующий</w:t>
      </w:r>
      <w:proofErr w:type="spellEnd"/>
      <w:r w:rsidRPr="0055458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5458F">
        <w:rPr>
          <w:rFonts w:ascii="Times New Roman" w:hAnsi="Times New Roman"/>
          <w:i/>
          <w:iCs/>
          <w:sz w:val="28"/>
          <w:szCs w:val="28"/>
        </w:rPr>
        <w:t>фасциит</w:t>
      </w:r>
      <w:proofErr w:type="spellEnd"/>
    </w:p>
    <w:p w14:paraId="30F2EA42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5458F">
        <w:rPr>
          <w:rFonts w:ascii="Times New Roman" w:hAnsi="Times New Roman"/>
          <w:iCs/>
          <w:sz w:val="28"/>
          <w:szCs w:val="28"/>
        </w:rPr>
        <w:lastRenderedPageBreak/>
        <w:t>Некротизирующий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фасциит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, в том числе с летальным исходом, регистрировался у пациентов на фоне применения препарата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Вайдаза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. Пациентам, у которых диагностирован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некротизирующий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фасциит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, следует прекратить терапию препаратом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Вайдаза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и незамедлительно начать соответствующее лечение.</w:t>
      </w:r>
      <w:r w:rsidRPr="0055458F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</w:p>
    <w:p w14:paraId="7211AE6E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5458F">
        <w:rPr>
          <w:rFonts w:ascii="Times New Roman" w:hAnsi="Times New Roman"/>
          <w:bCs/>
          <w:i/>
          <w:iCs/>
          <w:sz w:val="28"/>
          <w:szCs w:val="28"/>
        </w:rPr>
        <w:t>Синдром лизиса опухоли</w:t>
      </w:r>
    </w:p>
    <w:p w14:paraId="2B5DA49A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>Возможно развитие синдрома лизиса опухоли, особенно у пациентов, имеющих большую опухолевую массу. За этими пациентами должно быть организовано соответствующее наблюдение и применение общепринятых профилактических мер.</w:t>
      </w:r>
    </w:p>
    <w:p w14:paraId="42807E7D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5458F">
        <w:rPr>
          <w:rFonts w:ascii="Times New Roman" w:hAnsi="Times New Roman"/>
          <w:i/>
          <w:iCs/>
          <w:sz w:val="28"/>
          <w:szCs w:val="28"/>
        </w:rPr>
        <w:t>Дифференцировочный</w:t>
      </w:r>
      <w:proofErr w:type="spellEnd"/>
      <w:r w:rsidRPr="0055458F">
        <w:rPr>
          <w:rFonts w:ascii="Times New Roman" w:hAnsi="Times New Roman"/>
          <w:i/>
          <w:iCs/>
          <w:sz w:val="28"/>
          <w:szCs w:val="28"/>
        </w:rPr>
        <w:t xml:space="preserve"> синдром</w:t>
      </w:r>
    </w:p>
    <w:p w14:paraId="56815361" w14:textId="77777777" w:rsidR="0055458F" w:rsidRDefault="0055458F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Сообщалось о случаях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дифференцировочного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синдрома (также известного как синдром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ретиноевой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кислоты) у пациентов, получавших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в виде инъекций.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Дифференцировочный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синдром может приводить к летальному исходу, его симптомы и клинические признаки включают респираторный дистресс-синдром, инфильтраты в легких, лихорадку, сыпь, отек легких, периферические отеки, быстрое увеличение массы тела, плевральный выпот, перикардиальный выпот, гипотензию и нарушение функции почек. При первом появлении симптомов или признаков, указывающих на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дифференцировочный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синдром, следует рассмотреть вопрос о применении высоких доз кортикостероидов внутривенно и гемодинамического мониторинга. Также следует рассмотреть вопрос о временном прекращении приема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азацитидина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в форме инъекций до устранения симптомов, а в случае возобновления приема препарата следует соблюдать осторожность.</w:t>
      </w:r>
    </w:p>
    <w:p w14:paraId="3A68A580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3" w:name="_Hlk117594134"/>
      <w:r w:rsidRPr="0055458F">
        <w:rPr>
          <w:rFonts w:ascii="Times New Roman" w:hAnsi="Times New Roman"/>
          <w:i/>
          <w:iCs/>
          <w:sz w:val="28"/>
          <w:szCs w:val="28"/>
        </w:rPr>
        <w:t>Женщины репродуктивного возраста / контрацепция у мужчин и женщин</w:t>
      </w:r>
    </w:p>
    <w:p w14:paraId="5BA2039A" w14:textId="77777777" w:rsidR="0055458F" w:rsidRPr="0055458F" w:rsidRDefault="0055458F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Женщины репродуктивного возраста должны использовать эффективные методы контрацепции во время лечения и в течение как минимум 6 месяцев после его окончания. Мужчинам следует рекомендовать избегать зачатия детей на фоне терапии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азацитидином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 и применять надежные методы контрацепции как в период лечения, так и в течение 3</w:t>
      </w:r>
      <w:r w:rsidRPr="0055458F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55458F">
        <w:rPr>
          <w:rFonts w:ascii="Times New Roman" w:hAnsi="Times New Roman"/>
          <w:iCs/>
          <w:sz w:val="28"/>
          <w:szCs w:val="28"/>
        </w:rPr>
        <w:t>месяцев после его завершения.</w:t>
      </w:r>
      <w:bookmarkEnd w:id="3"/>
    </w:p>
    <w:p w14:paraId="71711E8F" w14:textId="77777777" w:rsidR="00D43297" w:rsidRPr="008633E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633E7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1BAE3835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55458F">
        <w:rPr>
          <w:rFonts w:ascii="Times New Roman" w:hAnsi="Times New Roman"/>
          <w:iCs/>
          <w:color w:val="000000"/>
          <w:sz w:val="28"/>
          <w:szCs w:val="28"/>
        </w:rPr>
        <w:t xml:space="preserve">Не имеется достаточного объема данных о применении </w:t>
      </w:r>
      <w:proofErr w:type="spellStart"/>
      <w:r w:rsidRPr="0055458F">
        <w:rPr>
          <w:rFonts w:ascii="Times New Roman" w:hAnsi="Times New Roman"/>
          <w:iCs/>
          <w:color w:val="000000"/>
          <w:sz w:val="28"/>
          <w:szCs w:val="28"/>
        </w:rPr>
        <w:t>азацитидина</w:t>
      </w:r>
      <w:proofErr w:type="spellEnd"/>
      <w:r w:rsidRPr="0055458F">
        <w:rPr>
          <w:rFonts w:ascii="Times New Roman" w:hAnsi="Times New Roman"/>
          <w:iCs/>
          <w:color w:val="000000"/>
          <w:sz w:val="28"/>
          <w:szCs w:val="28"/>
        </w:rPr>
        <w:t xml:space="preserve"> у беременных женщин. Согласно результатам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доклинических </w:t>
      </w:r>
      <w:r w:rsidRPr="0055458F">
        <w:rPr>
          <w:rFonts w:ascii="Times New Roman" w:hAnsi="Times New Roman"/>
          <w:iCs/>
          <w:color w:val="000000"/>
          <w:sz w:val="28"/>
          <w:szCs w:val="28"/>
        </w:rPr>
        <w:t xml:space="preserve">исследований и в соответствии с механизмом действия препарата </w:t>
      </w:r>
      <w:proofErr w:type="spellStart"/>
      <w:r w:rsidRPr="0055458F">
        <w:rPr>
          <w:rFonts w:ascii="Times New Roman" w:hAnsi="Times New Roman"/>
          <w:iCs/>
          <w:color w:val="000000"/>
          <w:sz w:val="28"/>
          <w:szCs w:val="28"/>
        </w:rPr>
        <w:t>азацитидин</w:t>
      </w:r>
      <w:proofErr w:type="spellEnd"/>
      <w:r w:rsidRPr="0055458F">
        <w:rPr>
          <w:rFonts w:ascii="Times New Roman" w:hAnsi="Times New Roman"/>
          <w:iCs/>
          <w:color w:val="000000"/>
          <w:sz w:val="28"/>
          <w:szCs w:val="28"/>
        </w:rPr>
        <w:t xml:space="preserve"> не следует применять во время беременности, особенно во время первого триместра, кроме случаев крайней необходимости. Польза от лечения должна превышать возможный риск для плода в каждом отдельном случае.</w:t>
      </w:r>
    </w:p>
    <w:p w14:paraId="05AEFE3B" w14:textId="77777777" w:rsidR="0055458F" w:rsidRDefault="0055458F" w:rsidP="0055458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5458F">
        <w:rPr>
          <w:rFonts w:ascii="Times New Roman" w:hAnsi="Times New Roman"/>
          <w:iCs/>
          <w:sz w:val="28"/>
          <w:szCs w:val="28"/>
        </w:rPr>
        <w:t xml:space="preserve">Неизвестно, проникает ли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 xml:space="preserve">/его метаболиты в грудное молоко. Учитывая возможные серьезные НЛР у детей, находящихся на грудном вскармливании, женщины, которым показано лечение </w:t>
      </w:r>
      <w:proofErr w:type="spellStart"/>
      <w:r w:rsidRPr="0055458F">
        <w:rPr>
          <w:rFonts w:ascii="Times New Roman" w:hAnsi="Times New Roman"/>
          <w:iCs/>
          <w:sz w:val="28"/>
          <w:szCs w:val="28"/>
        </w:rPr>
        <w:t>азацитидином</w:t>
      </w:r>
      <w:proofErr w:type="spellEnd"/>
      <w:r w:rsidRPr="0055458F">
        <w:rPr>
          <w:rFonts w:ascii="Times New Roman" w:hAnsi="Times New Roman"/>
          <w:iCs/>
          <w:sz w:val="28"/>
          <w:szCs w:val="28"/>
        </w:rPr>
        <w:t>, должны прекратить кормление грудью.</w:t>
      </w:r>
    </w:p>
    <w:p w14:paraId="255BE105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5458F">
        <w:rPr>
          <w:rFonts w:ascii="Times New Roman" w:hAnsi="Times New Roman"/>
          <w:bCs/>
          <w:i/>
          <w:iCs/>
          <w:sz w:val="28"/>
          <w:szCs w:val="28"/>
        </w:rPr>
        <w:lastRenderedPageBreak/>
        <w:t>Фертильность</w:t>
      </w:r>
    </w:p>
    <w:p w14:paraId="50D45083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5458F">
        <w:rPr>
          <w:rFonts w:ascii="Times New Roman" w:hAnsi="Times New Roman"/>
          <w:bCs/>
          <w:iCs/>
          <w:sz w:val="28"/>
          <w:szCs w:val="28"/>
        </w:rPr>
        <w:t xml:space="preserve">Не получено данных о влиянии </w:t>
      </w:r>
      <w:proofErr w:type="spellStart"/>
      <w:r w:rsidRPr="0055458F">
        <w:rPr>
          <w:rFonts w:ascii="Times New Roman" w:hAnsi="Times New Roman"/>
          <w:bCs/>
          <w:iCs/>
          <w:sz w:val="28"/>
          <w:szCs w:val="28"/>
        </w:rPr>
        <w:t>азацитидина</w:t>
      </w:r>
      <w:proofErr w:type="spellEnd"/>
      <w:r w:rsidRPr="0055458F">
        <w:rPr>
          <w:rFonts w:ascii="Times New Roman" w:hAnsi="Times New Roman"/>
          <w:bCs/>
          <w:iCs/>
          <w:sz w:val="28"/>
          <w:szCs w:val="28"/>
        </w:rPr>
        <w:t xml:space="preserve"> на фертильность человека. В исследованиях на животных показана способность </w:t>
      </w:r>
      <w:proofErr w:type="spellStart"/>
      <w:r w:rsidRPr="0055458F">
        <w:rPr>
          <w:rFonts w:ascii="Times New Roman" w:hAnsi="Times New Roman"/>
          <w:bCs/>
          <w:iCs/>
          <w:sz w:val="28"/>
          <w:szCs w:val="28"/>
        </w:rPr>
        <w:t>азацитидина</w:t>
      </w:r>
      <w:proofErr w:type="spellEnd"/>
      <w:r w:rsidRPr="0055458F">
        <w:rPr>
          <w:rFonts w:ascii="Times New Roman" w:hAnsi="Times New Roman"/>
          <w:bCs/>
          <w:iCs/>
          <w:sz w:val="28"/>
          <w:szCs w:val="28"/>
        </w:rPr>
        <w:t xml:space="preserve"> снижать репродуктивную функцию у самцов. Перед началом лечения мужчинам следует проконсультироваться относительно возможности консервации спермы.</w:t>
      </w:r>
    </w:p>
    <w:p w14:paraId="7C21874E" w14:textId="77777777" w:rsidR="00FA4F7C" w:rsidRPr="008633E7" w:rsidRDefault="00FA4F7C" w:rsidP="0055458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633E7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2D50B3BF" w14:textId="77777777" w:rsidR="0055458F" w:rsidRPr="0055458F" w:rsidRDefault="0055458F" w:rsidP="005545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55458F">
        <w:rPr>
          <w:rFonts w:ascii="Times New Roman" w:eastAsia="Times New Roman" w:hAnsi="Times New Roman"/>
          <w:iCs/>
          <w:sz w:val="28"/>
          <w:szCs w:val="28"/>
          <w:lang w:eastAsia="ru-RU"/>
        </w:rPr>
        <w:t>Азацитидин</w:t>
      </w:r>
      <w:proofErr w:type="spellEnd"/>
      <w:r w:rsidRPr="0055458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оказывает несущественное или умеренное влияние на способность управлять транспортными средствами и работать с механизмами. Учитывая возможность развития слабости на фоне лечения </w:t>
      </w:r>
      <w:proofErr w:type="spellStart"/>
      <w:r w:rsidRPr="0055458F">
        <w:rPr>
          <w:rFonts w:ascii="Times New Roman" w:eastAsia="Times New Roman" w:hAnsi="Times New Roman"/>
          <w:iCs/>
          <w:sz w:val="28"/>
          <w:szCs w:val="28"/>
          <w:lang w:eastAsia="ru-RU"/>
        </w:rPr>
        <w:t>азацитидином</w:t>
      </w:r>
      <w:proofErr w:type="spellEnd"/>
      <w:r w:rsidRPr="0055458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следует соблюдать особую осторожность при управлении транспортными средствами или работе с механизмами. </w:t>
      </w:r>
    </w:p>
    <w:p w14:paraId="0C0C7C55" w14:textId="77777777" w:rsidR="007D0E84" w:rsidRPr="008633E7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0A8977" w14:textId="77777777" w:rsidR="00DB406A" w:rsidRPr="008633E7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6D488A19" w14:textId="77777777" w:rsidR="00776BE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4" w:name="2175220274"/>
      <w:r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</w:p>
    <w:p w14:paraId="12E6C231" w14:textId="77777777" w:rsidR="005C4B12" w:rsidRDefault="00776BEB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Лечение препаратом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следует проводить под наблюдением врача, имеющего опыт применения противоопухолевых препаратов. Перед введением препарата необходимо назначить противорвотные препараты.</w:t>
      </w:r>
    </w:p>
    <w:p w14:paraId="39B494DD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Рекомендуемая начальная доза для первого курса лечения — 75 мг/м² площади поверхности тела, независимо от исходных гематологических показателей пациента. Препарат вводится подкожно, ежедневно в течение 7 дней, после чего следует 21-дневный перерыв. Общая продолжительность одного курса лечения составляет 28 дней.</w:t>
      </w:r>
    </w:p>
    <w:p w14:paraId="5FBFAB90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Рекомендуется провести не менее 6 терапевтических циклов. Лечение продолжается до тех пор, пока сохраняется его эффективность или до появления симптомов прогрессирования заболевания.</w:t>
      </w:r>
    </w:p>
    <w:p w14:paraId="5725A5E0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ходе наблюдения за больными оценивают ответ со стороны показателей крови и возможные проявления токсичности, в частности, со стороны крови и почек, которые могут требовать отсрочки следующего курса лечения или снижения дозы препарата.</w:t>
      </w:r>
    </w:p>
    <w:p w14:paraId="5A597829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Инъекционный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азацитидин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следует использовать как взаимозаменяемый пероральному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азацитидину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 Дозы, рекомендации по применению различаются для пероральных и инъекционных препаратов. При приеме проверяйте название, дозировку и способ применения препарата.</w:t>
      </w:r>
    </w:p>
    <w:p w14:paraId="3563AB6A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Лабораторные тесты</w:t>
      </w:r>
    </w:p>
    <w:p w14:paraId="4BB3D846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 начала терапии и перед началом очередного цикла лечения необходимо оценивать результаты исследований функциональной активности печени, концентрации креатинина и бикарбонатов в плазме крови. До начала терапии и, как минимум, перед каждым циклом лечения следует выполнять развернутый клинический анализ крови для контроля эффективности терапии и возможных токсических реакций.</w:t>
      </w:r>
    </w:p>
    <w:p w14:paraId="4D7CDC4E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Изменение дозы при выявлении симптомов гематологической токсичности</w:t>
      </w:r>
    </w:p>
    <w:p w14:paraId="4A1C853C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Гематологическая токсичность определяется по максимальному снижению количества клеток крови (надир) в течение данного цикла лечения, если количество тромбоцитов снижается до ≤50,0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val="en-GB" w:eastAsia="ru-RU"/>
        </w:rPr>
        <w:t> x 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10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/л и ниже и/или абсолютное число нейтрофилов (АЧН) снижается до 1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val="en-GB" w:eastAsia="ru-RU"/>
        </w:rPr>
        <w:t> x 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10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/л и ниже.</w:t>
      </w:r>
    </w:p>
    <w:p w14:paraId="43303406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Восстановлением считается повышение количества клеток в клеточной(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ых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 линии(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ях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), в которых наблюдалась гематологическая токсичность, на, по меньшей мере, сумму надира и половины абсолютной разницы между исходным количеством клеток и надиром (т.е., количество клеток при восстановлении </w:t>
      </w:r>
      <w:proofErr w:type="gram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≥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val="en-GB" w:eastAsia="ru-RU"/>
        </w:rPr>
        <w:t> 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надир</w:t>
      </w:r>
      <w:proofErr w:type="gram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+ (0,5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val="en-GB" w:eastAsia="ru-RU"/>
        </w:rPr>
        <w:t> x 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[</w:t>
      </w:r>
      <w:bookmarkStart w:id="5" w:name="_Hlk118112185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|</w:t>
      </w:r>
      <w:bookmarkEnd w:id="5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исходное количество – надир|]).</w:t>
      </w:r>
    </w:p>
    <w:p w14:paraId="2B48B33B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Пациенты без снижения исходных (до начала терапии препаратом </w:t>
      </w:r>
      <w:proofErr w:type="spellStart"/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) показателей количества лейкоцитов ≥3,0 х 10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/л, абсолютного числа нейтрофилов ≥1,5 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val="en-GB" w:eastAsia="ru-RU"/>
        </w:rPr>
        <w:t>x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10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/л, количества тромбоцитов ≥75,0 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val="en-GB" w:eastAsia="ru-RU"/>
        </w:rPr>
        <w:t>x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10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/л.</w:t>
      </w:r>
    </w:p>
    <w:p w14:paraId="1F10AB3D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Если на фоне лечения препаратом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 этих пациентов появляются симптомы гематологической токсичности, следующий цикл лечения препаратом откладывается до восстановления количества тромбоцитов и абсолютного числа нейтрофилов до исходных значений. </w:t>
      </w:r>
    </w:p>
    <w:p w14:paraId="5D85FD9A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Если продолжительность восстановительного периода не превышает 14 дней, изменения дозы препарата не требуется. </w:t>
      </w:r>
    </w:p>
    <w:p w14:paraId="785EF0DB" w14:textId="77777777" w:rsid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Однако, если количество клеток крови не увеличилось до необходимого уровня в течение 14 дней, доза препарата должна быть снижена согласно рекомендациям, изложенным в таблице ниже. После изменения дозы продолжительность цикла терапии должна быть восстановлена до 28 дней.</w:t>
      </w:r>
    </w:p>
    <w:p w14:paraId="6D4B01AF" w14:textId="77777777" w:rsidR="00E52BC1" w:rsidRPr="00776BEB" w:rsidRDefault="00E52BC1" w:rsidP="00776B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W w:w="4913" w:type="pct"/>
        <w:jc w:val="center"/>
        <w:tblLook w:val="00A0" w:firstRow="1" w:lastRow="0" w:firstColumn="1" w:lastColumn="0" w:noHBand="0" w:noVBand="0"/>
      </w:tblPr>
      <w:tblGrid>
        <w:gridCol w:w="2976"/>
        <w:gridCol w:w="2411"/>
        <w:gridCol w:w="3738"/>
      </w:tblGrid>
      <w:tr w:rsidR="00776BEB" w:rsidRPr="00776BEB" w14:paraId="0300FFF0" w14:textId="77777777" w:rsidTr="002E7115">
        <w:trPr>
          <w:jc w:val="center"/>
        </w:trPr>
        <w:tc>
          <w:tcPr>
            <w:tcW w:w="295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8C87CA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Минимальное количество клеток крови в течение одного цикла терапии</w:t>
            </w:r>
          </w:p>
        </w:tc>
        <w:tc>
          <w:tcPr>
            <w:tcW w:w="20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423BE8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Доза для следующего цикла, если восстановление* количества клеток крови потребовало больше 14 дней (%)</w:t>
            </w:r>
          </w:p>
        </w:tc>
      </w:tr>
      <w:tr w:rsidR="00776BEB" w:rsidRPr="00776BEB" w14:paraId="10B5E55D" w14:textId="77777777" w:rsidTr="002E7115">
        <w:trPr>
          <w:jc w:val="center"/>
        </w:trPr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746B2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Абсолютное число нейтрофилов, АЧН (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>x 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10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9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/л)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FF076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Тромбоциты (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>x 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10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9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/л)</w:t>
            </w:r>
          </w:p>
        </w:tc>
        <w:tc>
          <w:tcPr>
            <w:tcW w:w="20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8A886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76BEB" w:rsidRPr="00776BEB" w14:paraId="18516CC8" w14:textId="77777777" w:rsidTr="002E7115">
        <w:trPr>
          <w:jc w:val="center"/>
        </w:trPr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CDB9B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≤1,0 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19357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≤50,0 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E35C4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50%</w:t>
            </w:r>
          </w:p>
        </w:tc>
      </w:tr>
      <w:tr w:rsidR="00776BEB" w:rsidRPr="00776BEB" w14:paraId="7C9E765D" w14:textId="77777777" w:rsidTr="002E7115">
        <w:trPr>
          <w:jc w:val="center"/>
        </w:trPr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70090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&gt;1,0 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D47DE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&gt;50,0 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AC1ED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100%</w:t>
            </w:r>
          </w:p>
        </w:tc>
      </w:tr>
    </w:tbl>
    <w:p w14:paraId="662FC2BF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* количество клеток при восстановлении = количество ≥ надир + (0,5 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x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[исходное количество – надир])</w:t>
      </w:r>
    </w:p>
    <w:p w14:paraId="514F080E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5FF4E5CA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Пациенты со снижением исходных (до начала первой терапии препаратом </w:t>
      </w:r>
      <w:proofErr w:type="spellStart"/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) показателей количества лейкоцитов &lt;3,0 х 10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/л, абсолютного числа нейтрофилов &lt;1,5 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val="en-GB" w:eastAsia="ru-RU"/>
        </w:rPr>
        <w:t>x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10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/л, количества тромбоцитов &lt;75,0 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val="en-GB" w:eastAsia="ru-RU"/>
        </w:rPr>
        <w:t>x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10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vertAlign w:val="superscript"/>
          <w:lang w:eastAsia="ru-RU"/>
        </w:rPr>
        <w:t>9</w:t>
      </w: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/л</w:t>
      </w:r>
    </w:p>
    <w:p w14:paraId="51205504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Если перед очередным циклом лечения препаратом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наблюдается снижение количества лейкоцитов или абсолютного числа нейтрофилов или тромбоцитов менее или равное 50% от их исходных значений, или более 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50%, но при наличии улучшения дифференциации любого клеточного ростка, схема введения препарата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его доза не должны меняться.</w:t>
      </w:r>
    </w:p>
    <w:p w14:paraId="606A641A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Больным, у которых количество клеток крови снизилось более чем на 50% от исходного значения при отсутствии признаков улучшения дифференциации клеточного ростка, очередной цикл лечения препаратом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должен быть отложен до восстановления абсолютного числа нейтрофилов и тромбоцитов. Если восстановление заняло не более 14 дней, корректировка дозы препарата </w:t>
      </w:r>
      <w:proofErr w:type="spellStart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не требуется. Если восстановление не было достигнуто в течение 14 дней, необходимо оценить клеточную насыщенность костного мозга. При показателе клеточной насыщенности &gt;50% изменение дозы препарата не требуется. Если клеточная насыщенность костного мозга ≤50%, лечение должно быть отложено, а доза снижена согласно рекомендациям, приведенным в таблице ниже:</w:t>
      </w:r>
    </w:p>
    <w:tbl>
      <w:tblPr>
        <w:tblpPr w:leftFromText="180" w:rightFromText="180" w:vertAnchor="text" w:horzAnchor="margin" w:tblpXSpec="center" w:tblpY="218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3093"/>
        <w:gridCol w:w="2943"/>
      </w:tblGrid>
      <w:tr w:rsidR="00776BEB" w:rsidRPr="00776BEB" w14:paraId="7FD293D8" w14:textId="77777777" w:rsidTr="002E7115">
        <w:trPr>
          <w:trHeight w:val="877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A1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</w:pPr>
            <w:proofErr w:type="spellStart"/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>Клеточн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ая</w:t>
            </w:r>
            <w:proofErr w:type="spellEnd"/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>насыщен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ность</w:t>
            </w:r>
            <w:proofErr w:type="spellEnd"/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>костного</w:t>
            </w:r>
            <w:proofErr w:type="spellEnd"/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GB" w:eastAsia="ru-RU"/>
              </w:rPr>
              <w:t>мозга</w:t>
            </w:r>
            <w:proofErr w:type="spellEnd"/>
          </w:p>
        </w:tc>
        <w:tc>
          <w:tcPr>
            <w:tcW w:w="3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1B1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Доза для следующего цикла, если восстановление* количества клеток крови потребовало больше 14 дней (%)</w:t>
            </w:r>
          </w:p>
        </w:tc>
      </w:tr>
      <w:tr w:rsidR="00776BEB" w:rsidRPr="00776BEB" w14:paraId="75A4971D" w14:textId="77777777" w:rsidTr="002E7115">
        <w:trPr>
          <w:trHeight w:val="28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FC9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7D9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Восстановление*≤21 день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3E6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Восстановление*&gt;21 день</w:t>
            </w:r>
          </w:p>
        </w:tc>
      </w:tr>
      <w:tr w:rsidR="00776BEB" w:rsidRPr="00776BEB" w14:paraId="1E56E38A" w14:textId="77777777" w:rsidTr="002E7115">
        <w:trPr>
          <w:trHeight w:val="239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76A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15-50%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C4C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A78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50%</w:t>
            </w:r>
          </w:p>
        </w:tc>
      </w:tr>
      <w:tr w:rsidR="00776BEB" w:rsidRPr="00776BEB" w14:paraId="11192A22" w14:textId="77777777" w:rsidTr="002E7115">
        <w:trPr>
          <w:trHeight w:val="86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5BA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&lt;15</w:t>
            </w: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3B6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E3A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76BE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33%</w:t>
            </w:r>
          </w:p>
        </w:tc>
      </w:tr>
    </w:tbl>
    <w:p w14:paraId="0D7223A3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* количество клеток при восстановлении = количество ≥ надир + (0,5 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val="en-US" w:eastAsia="ru-RU"/>
        </w:rPr>
        <w:t>x</w:t>
      </w: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[исходное количество – надир])</w:t>
      </w:r>
    </w:p>
    <w:p w14:paraId="6ECDCA0D" w14:textId="77777777" w:rsidR="00776BEB" w:rsidRPr="00776BEB" w:rsidRDefault="00776BEB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После изменения дозы продолжительность следующего цикла терапии должна быть восстановлена до 28 дней.</w:t>
      </w:r>
    </w:p>
    <w:p w14:paraId="67CD4A82" w14:textId="77777777" w:rsidR="00B9176C" w:rsidRDefault="00B9176C" w:rsidP="00B917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2175220276"/>
      <w:bookmarkEnd w:id="4"/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Особые группы пациентов</w:t>
      </w:r>
    </w:p>
    <w:p w14:paraId="49B04BBF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пожилого возраста</w:t>
      </w:r>
    </w:p>
    <w:p w14:paraId="0B56B528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Пожилым больным не требуется специального режима дозирования. Поскольку у пожилых пациентов вероятность нарушения функции почек выше, рекомендуется </w:t>
      </w:r>
      <w:proofErr w:type="spellStart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мониторировать</w:t>
      </w:r>
      <w:proofErr w:type="spellEnd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функцию почек во время лечения.</w:t>
      </w:r>
    </w:p>
    <w:p w14:paraId="1870800C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с почечной недостаточностью</w:t>
      </w:r>
    </w:p>
    <w:p w14:paraId="2EED0EE6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>У пациентов с нарушениями функции почек</w:t>
      </w:r>
      <w:r w:rsidRPr="00776BEB" w:rsidDel="009464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стартовую дозу </w:t>
      </w:r>
      <w:proofErr w:type="spellStart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>азацитидина</w:t>
      </w:r>
      <w:proofErr w:type="spellEnd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изменять не требуется. При необъяснимом снижении концентрации бикарбонатов в сыворотке менее 20 ммоль/л доза препарата для следующего цикла терапии должна быть уменьшена на 50%. При необъяснимом повышении концентрации креатинина сыворотки крови или концентрации азота мочевины в крови в 2 раза или более от исходных значений или выше верхней границы нормы очередной цикл терапии должен быть отложен до восстановления этих параметров до нормальных или исходных значений, а доза препарата в следующем цикле должна быть снижена на 50%.</w:t>
      </w:r>
    </w:p>
    <w:p w14:paraId="57614C6B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Пациенты с печеночной недостаточностью </w:t>
      </w:r>
    </w:p>
    <w:p w14:paraId="4ABD8DEC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Специальных исследований у больных с нарушениями функций печени не проводилось. Больные с тяжелой печеночной недостаточностью должны тщательно </w:t>
      </w:r>
      <w:proofErr w:type="spellStart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мониторироваться</w:t>
      </w:r>
      <w:proofErr w:type="spellEnd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своевременного выявления нежелательных явлений. Корректировка начальной дозы перед началом лечения у пациентов с нарушением функции печени не требуется; последующие изменения дозы должны осуществляться на основании лабораторных показателей крови. </w:t>
      </w:r>
      <w:proofErr w:type="spellStart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>Азапан</w:t>
      </w:r>
      <w:proofErr w:type="spellEnd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противопоказан пациентам со злокачественными опухолями печени в запущенной стадии.</w:t>
      </w:r>
    </w:p>
    <w:p w14:paraId="64FA6389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Дети</w:t>
      </w:r>
    </w:p>
    <w:p w14:paraId="74C95F93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Безопасность и эффективность </w:t>
      </w:r>
      <w:proofErr w:type="spellStart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>азацитидина</w:t>
      </w:r>
      <w:proofErr w:type="spellEnd"/>
      <w:r w:rsidRPr="00776B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детей в возрасте от 0 до 17 лет в настоящий момент не установлены.</w:t>
      </w:r>
    </w:p>
    <w:p w14:paraId="6C647E50" w14:textId="77777777" w:rsidR="00B9176C" w:rsidRPr="008633E7" w:rsidRDefault="00B9176C" w:rsidP="00B917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33E7">
        <w:rPr>
          <w:rFonts w:ascii="Times New Roman" w:hAnsi="Times New Roman"/>
          <w:b/>
          <w:sz w:val="28"/>
          <w:szCs w:val="28"/>
          <w:lang w:bidi="ru-RU"/>
        </w:rPr>
        <w:t xml:space="preserve">Способ применения </w:t>
      </w:r>
    </w:p>
    <w:p w14:paraId="664EC343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2175220278"/>
      <w:bookmarkEnd w:id="6"/>
      <w:r w:rsidRPr="00776BEB">
        <w:rPr>
          <w:rFonts w:ascii="Times New Roman" w:hAnsi="Times New Roman"/>
          <w:sz w:val="28"/>
          <w:szCs w:val="28"/>
        </w:rPr>
        <w:t>Восстановленный препарат следует вводить подкожно в область плеча, бедра или живота.</w:t>
      </w:r>
    </w:p>
    <w:p w14:paraId="76A5D972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Места инъекций необходимо чередовать: каждую новую инъекцию следует делать на расстоянии не менее 2,5 см от предыдущего места, при этом не следует вводить препарат в участки кожи, которые болезненны, покрасневшие, уплотнённые или имеют синяки.</w:t>
      </w:r>
    </w:p>
    <w:p w14:paraId="5393F122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После восстановления суспензию нельзя фильтровать.</w:t>
      </w:r>
    </w:p>
    <w:p w14:paraId="6D9695F7" w14:textId="77777777" w:rsid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 xml:space="preserve">Инструкции по восстановлению препарата перед введением приведены </w:t>
      </w:r>
      <w:r>
        <w:rPr>
          <w:rFonts w:ascii="Times New Roman" w:hAnsi="Times New Roman"/>
          <w:sz w:val="28"/>
          <w:szCs w:val="28"/>
        </w:rPr>
        <w:t>ниже:</w:t>
      </w:r>
    </w:p>
    <w:p w14:paraId="45042528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776BEB">
        <w:rPr>
          <w:rFonts w:ascii="Times New Roman" w:hAnsi="Times New Roman"/>
          <w:b/>
          <w:i/>
          <w:iCs/>
          <w:sz w:val="28"/>
          <w:szCs w:val="28"/>
        </w:rPr>
        <w:t>Рекомендации по приготовлению раствора и проведению инъекций</w:t>
      </w:r>
    </w:p>
    <w:p w14:paraId="4B125642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776BEB">
        <w:rPr>
          <w:rFonts w:ascii="Times New Roman" w:hAnsi="Times New Roman"/>
          <w:i/>
          <w:sz w:val="28"/>
          <w:szCs w:val="28"/>
          <w:u w:val="single"/>
        </w:rPr>
        <w:t xml:space="preserve">Рекомендации по технике безопасности при обращении с препаратом </w:t>
      </w:r>
    </w:p>
    <w:p w14:paraId="1983FCF1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776BEB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Азапан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– цитотоксическое лекарственное средство, как и с другими токсическими веществами, при обращении и приготовлении суспензии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азацитидина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следует соблюдать осторожность. Необходимо соблюдать локальные правила для противоопухолевых препаратов по обращению и утилизации.</w:t>
      </w:r>
    </w:p>
    <w:p w14:paraId="778B70A8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776BEB">
        <w:rPr>
          <w:rFonts w:ascii="Times New Roman" w:hAnsi="Times New Roman"/>
          <w:sz w:val="28"/>
          <w:szCs w:val="28"/>
        </w:rPr>
        <w:t xml:space="preserve">При контакте восстановленного раствора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азацитидина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с кожей следует немедленно тщательно промыть ее с мылом и водой. При контакте со слизистыми оболочками – тщательно промыть их водой.</w:t>
      </w:r>
    </w:p>
    <w:p w14:paraId="3B6DC555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776BEB">
        <w:rPr>
          <w:rFonts w:ascii="Times New Roman" w:hAnsi="Times New Roman"/>
          <w:i/>
          <w:sz w:val="28"/>
          <w:szCs w:val="28"/>
          <w:u w:val="single"/>
        </w:rPr>
        <w:t>Приготовление восстановленного раствора</w:t>
      </w:r>
    </w:p>
    <w:p w14:paraId="7D3821B8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776BEB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Азапан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следует разводить водой для инъекций. Срок хранения восстановленного препарата можно увеличить, если разводить его охлажденной (от 2 до 8 °</w:t>
      </w:r>
      <w:r w:rsidRPr="00776BEB">
        <w:rPr>
          <w:rFonts w:ascii="Times New Roman" w:hAnsi="Times New Roman"/>
          <w:sz w:val="28"/>
          <w:szCs w:val="28"/>
          <w:lang w:val="en-GB"/>
        </w:rPr>
        <w:t>C</w:t>
      </w:r>
      <w:r w:rsidRPr="00776BEB">
        <w:rPr>
          <w:rFonts w:ascii="Times New Roman" w:hAnsi="Times New Roman"/>
          <w:sz w:val="28"/>
          <w:szCs w:val="28"/>
        </w:rPr>
        <w:t>) водой для инъекций. Подробная информация о хранении восстановленного препарата представлена ниже.</w:t>
      </w:r>
    </w:p>
    <w:p w14:paraId="6D7299DC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 xml:space="preserve">Подготовить: флакон(ы) с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азацитидином</w:t>
      </w:r>
      <w:proofErr w:type="spellEnd"/>
      <w:r w:rsidRPr="00776BEB">
        <w:rPr>
          <w:rFonts w:ascii="Times New Roman" w:hAnsi="Times New Roman"/>
          <w:sz w:val="28"/>
          <w:szCs w:val="28"/>
        </w:rPr>
        <w:t>, флакон(ы) с водой для инъекций, нестерильные хирургические перчатки, спиртовые салфетки, шприц(ы) для инъекций на 5 мл с иглой(</w:t>
      </w:r>
      <w:proofErr w:type="spellStart"/>
      <w:r w:rsidRPr="00776BEB">
        <w:rPr>
          <w:rFonts w:ascii="Times New Roman" w:hAnsi="Times New Roman"/>
          <w:sz w:val="28"/>
          <w:szCs w:val="28"/>
        </w:rPr>
        <w:t>ами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). </w:t>
      </w:r>
    </w:p>
    <w:p w14:paraId="60857D3D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 xml:space="preserve">Набрать в шприц 4 мл воды для инъекций, убедиться в отсутствии в нем пузырьков воздуха. </w:t>
      </w:r>
    </w:p>
    <w:p w14:paraId="7C2271C9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lastRenderedPageBreak/>
        <w:t xml:space="preserve">Проткнуть иглой шприца, содержащего 4 мл воды для инъекций, резиновую пробку флакона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азацитидина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и ввести воду для инъекций во флакон. </w:t>
      </w:r>
    </w:p>
    <w:p w14:paraId="50742A0C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76BEB">
        <w:rPr>
          <w:rFonts w:ascii="Times New Roman" w:hAnsi="Times New Roman"/>
          <w:sz w:val="28"/>
          <w:szCs w:val="28"/>
        </w:rPr>
        <w:t xml:space="preserve">После удаления шприца и иглы энергично встряхнуть флакон до получения однородной мутной суспензии. После разведения каждый мл суспензии содержит 25 мг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азацитидина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(100 мг/4 мл). Восстановленный препарат должен представлять собой однородную мутную суспензию, не содержащую крупных частиц. </w:t>
      </w:r>
      <w:r w:rsidRPr="00776BEB">
        <w:rPr>
          <w:rFonts w:ascii="Times New Roman" w:hAnsi="Times New Roman"/>
          <w:sz w:val="28"/>
          <w:szCs w:val="28"/>
          <w:u w:val="single"/>
        </w:rPr>
        <w:t>Не использовать препарат, если он содержит крупные частицы или сгустки. Не фильтровать суспензию после восстановления, так как это может привести к удалению активного вещества. Следует учесть, что некоторые адаптеры, иглы и закрытые системы снабжены встроенными фильтрами. Такие системы не должны использоваться для введения восстановленного препарата.</w:t>
      </w:r>
    </w:p>
    <w:p w14:paraId="137DFC48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 xml:space="preserve">Протереть резиновую пробку и вставить во флакон новый шприц с иглой. Затем перевернуть флакон вверх дном, убедившись, что кончик иглы находится ниже уровня жидкости. Аккуратно оттянуть назад поршень шприца и набрать в шприц количество препарата, необходимое для получения точной дозы, убедившись в отсутствии пузырьков воздуха в шприце. Вытащить из флакона шприц с иглой, иглу выбросить. </w:t>
      </w:r>
    </w:p>
    <w:p w14:paraId="63441B8A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Плотно закрепить на шприце новую иглу для подкожных инъекций (рекомендуется игла 25 калибра). Иглу не следует прочищать перед инъекцией, чтобы снизить частоту развития местных реакций в области инъекции.</w:t>
      </w:r>
    </w:p>
    <w:p w14:paraId="46E15E9D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Если требуется введение более одного флакона, следует повторно выполнить</w:t>
      </w:r>
      <w:r w:rsidRPr="00776BEB" w:rsidDel="00857AE4">
        <w:rPr>
          <w:rFonts w:ascii="Times New Roman" w:hAnsi="Times New Roman"/>
          <w:sz w:val="28"/>
          <w:szCs w:val="28"/>
        </w:rPr>
        <w:t xml:space="preserve"> </w:t>
      </w:r>
      <w:r w:rsidRPr="00776BEB">
        <w:rPr>
          <w:rFonts w:ascii="Times New Roman" w:hAnsi="Times New Roman"/>
          <w:sz w:val="28"/>
          <w:szCs w:val="28"/>
        </w:rPr>
        <w:t>все указанные выше этапы приготовления суспензии.  В тех случаях, когда для получения необходимой дозы нужно более одного флакона с препаратом, доза должна быть разделена на две равные части (например, если доза 150 мг = 6 мл, то набирают 2 шприца по 3 мл в каждом). Из-за того, что на стенках флакона и в игле остается часть препарата, извлечь полностью весь объем суспензии из флакона не представляется возможным.</w:t>
      </w:r>
    </w:p>
    <w:p w14:paraId="4EF792F0" w14:textId="77777777" w:rsidR="00776BEB" w:rsidRPr="00776BEB" w:rsidRDefault="00776BEB" w:rsidP="00776B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Непосредственно перед введением необходимо повторно перевести содержимое шприца в состояние суспензии. Перед введением дайте шприцу достичь температуры 20</w:t>
      </w:r>
      <w:r w:rsidRPr="00776BEB">
        <w:rPr>
          <w:rFonts w:ascii="Times New Roman" w:hAnsi="Times New Roman"/>
          <w:sz w:val="28"/>
          <w:szCs w:val="28"/>
        </w:rPr>
        <w:noBreakHyphen/>
        <w:t>25°</w:t>
      </w:r>
      <w:r w:rsidRPr="00776BEB">
        <w:rPr>
          <w:rFonts w:ascii="Times New Roman" w:hAnsi="Times New Roman"/>
          <w:sz w:val="28"/>
          <w:szCs w:val="28"/>
          <w:lang w:val="en-GB"/>
        </w:rPr>
        <w:t>C</w:t>
      </w:r>
      <w:r w:rsidRPr="00776BEB">
        <w:rPr>
          <w:rFonts w:ascii="Times New Roman" w:hAnsi="Times New Roman"/>
          <w:sz w:val="28"/>
          <w:szCs w:val="28"/>
        </w:rPr>
        <w:t xml:space="preserve"> (но не более, чем в течение 30 минут). Если время до введения суспензии превысило 30 минут, приготовленная доза должна быть уничтожена. Следует приготовить новую дозу препарата. Чтобы </w:t>
      </w:r>
      <w:proofErr w:type="spellStart"/>
      <w:r w:rsidRPr="00776BEB">
        <w:rPr>
          <w:rFonts w:ascii="Times New Roman" w:hAnsi="Times New Roman"/>
          <w:sz w:val="28"/>
          <w:szCs w:val="28"/>
        </w:rPr>
        <w:t>ресуспендировать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препарат, энергично катайте шприц между ладонями до образования однородной суспензии белого цвета. </w:t>
      </w:r>
      <w:r w:rsidRPr="00776BEB">
        <w:rPr>
          <w:rFonts w:ascii="Times New Roman" w:hAnsi="Times New Roman"/>
          <w:sz w:val="28"/>
          <w:szCs w:val="28"/>
          <w:u w:val="single"/>
        </w:rPr>
        <w:t>В случае присутствия в суспензии крупных частиц или сгустков восстановленный препарат следует уничтожить</w:t>
      </w:r>
      <w:r w:rsidRPr="00776BEB">
        <w:rPr>
          <w:rFonts w:ascii="Times New Roman" w:hAnsi="Times New Roman"/>
          <w:sz w:val="28"/>
          <w:szCs w:val="28"/>
        </w:rPr>
        <w:t xml:space="preserve">. </w:t>
      </w:r>
    </w:p>
    <w:p w14:paraId="0ACCDC3B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i/>
          <w:sz w:val="28"/>
          <w:szCs w:val="28"/>
        </w:rPr>
        <w:t>После приготовления восстановленного раствора</w:t>
      </w:r>
    </w:p>
    <w:p w14:paraId="70296B25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lastRenderedPageBreak/>
        <w:t xml:space="preserve">При разведении препарата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Азапан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неохлажденной водой для инъекций, разведенный лекарственный препарат остается химически и физически стабильным в течение 45 минут при температуре 25 °С и в течение 8 часов при температуре от 2 до 8 °С. Срок хранения разведенного препарата может быть продлен путем разведения его водой для инъекций, которая хранилась в холодильнике (с температурой от 2 до 8 °</w:t>
      </w:r>
      <w:r w:rsidRPr="00776BEB">
        <w:rPr>
          <w:rFonts w:ascii="Times New Roman" w:hAnsi="Times New Roman"/>
          <w:sz w:val="28"/>
          <w:szCs w:val="28"/>
          <w:lang w:val="en-GB"/>
        </w:rPr>
        <w:t>C</w:t>
      </w:r>
      <w:r w:rsidRPr="00776BEB">
        <w:rPr>
          <w:rFonts w:ascii="Times New Roman" w:hAnsi="Times New Roman"/>
          <w:sz w:val="28"/>
          <w:szCs w:val="28"/>
        </w:rPr>
        <w:t xml:space="preserve">). При разведении препарата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Азапан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предварительно охлажденной (от 2 до 8 °</w:t>
      </w:r>
      <w:r w:rsidRPr="00776BEB">
        <w:rPr>
          <w:rFonts w:ascii="Times New Roman" w:hAnsi="Times New Roman"/>
          <w:sz w:val="28"/>
          <w:szCs w:val="28"/>
          <w:lang w:val="en-GB"/>
        </w:rPr>
        <w:t>C</w:t>
      </w:r>
      <w:r w:rsidRPr="00776BEB">
        <w:rPr>
          <w:rFonts w:ascii="Times New Roman" w:hAnsi="Times New Roman"/>
          <w:sz w:val="28"/>
          <w:szCs w:val="28"/>
        </w:rPr>
        <w:t>) водой для инъекций разведенный лекарственный препарат остается химически и физически стабильным в течение 22 часов при температуре от 2 до 8 °</w:t>
      </w:r>
      <w:r w:rsidRPr="00776BEB">
        <w:rPr>
          <w:rFonts w:ascii="Times New Roman" w:hAnsi="Times New Roman"/>
          <w:sz w:val="28"/>
          <w:szCs w:val="28"/>
          <w:lang w:val="en-GB"/>
        </w:rPr>
        <w:t>C</w:t>
      </w:r>
      <w:r w:rsidRPr="00776BEB">
        <w:rPr>
          <w:rFonts w:ascii="Times New Roman" w:hAnsi="Times New Roman"/>
          <w:sz w:val="28"/>
          <w:szCs w:val="28"/>
        </w:rPr>
        <w:t xml:space="preserve">. </w:t>
      </w:r>
    </w:p>
    <w:p w14:paraId="00004EA0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С микробиологической точки зрения разведенный продукт следует использовать немедленно. Если препарат не используется сразу, ответственность за сроки и условия хранения возлагается на пользователя, но, в любом случае, препарат следует хранить не более 8 часов при температуре от 2 до 8 °</w:t>
      </w:r>
      <w:r w:rsidRPr="00776BEB">
        <w:rPr>
          <w:rFonts w:ascii="Times New Roman" w:hAnsi="Times New Roman"/>
          <w:sz w:val="28"/>
          <w:szCs w:val="28"/>
          <w:lang w:val="en-GB"/>
        </w:rPr>
        <w:t>C</w:t>
      </w:r>
      <w:r w:rsidRPr="00776BEB">
        <w:rPr>
          <w:rFonts w:ascii="Times New Roman" w:hAnsi="Times New Roman"/>
          <w:sz w:val="28"/>
          <w:szCs w:val="28"/>
        </w:rPr>
        <w:t xml:space="preserve"> при разведении неохлажденной водой для инъекций или не более 22 часов при разведении охлажденной (от 2 до</w:t>
      </w:r>
      <w:r w:rsidRPr="00776BEB" w:rsidDel="00CE03FF">
        <w:rPr>
          <w:rFonts w:ascii="Times New Roman" w:hAnsi="Times New Roman"/>
          <w:sz w:val="28"/>
          <w:szCs w:val="28"/>
        </w:rPr>
        <w:t xml:space="preserve"> </w:t>
      </w:r>
      <w:r w:rsidRPr="00776BEB">
        <w:rPr>
          <w:rFonts w:ascii="Times New Roman" w:hAnsi="Times New Roman"/>
          <w:sz w:val="28"/>
          <w:szCs w:val="28"/>
        </w:rPr>
        <w:t>8 °</w:t>
      </w:r>
      <w:r w:rsidRPr="00776BEB">
        <w:rPr>
          <w:rFonts w:ascii="Times New Roman" w:hAnsi="Times New Roman"/>
          <w:sz w:val="28"/>
          <w:szCs w:val="28"/>
          <w:lang w:val="en-GB"/>
        </w:rPr>
        <w:t>C</w:t>
      </w:r>
      <w:r w:rsidRPr="00776BEB">
        <w:rPr>
          <w:rFonts w:ascii="Times New Roman" w:hAnsi="Times New Roman"/>
          <w:sz w:val="28"/>
          <w:szCs w:val="28"/>
        </w:rPr>
        <w:t>) водой для инъекций.</w:t>
      </w:r>
    </w:p>
    <w:p w14:paraId="26D4FE0F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76BEB">
        <w:rPr>
          <w:rFonts w:ascii="Times New Roman" w:hAnsi="Times New Roman"/>
          <w:sz w:val="28"/>
          <w:szCs w:val="28"/>
          <w:u w:val="single"/>
        </w:rPr>
        <w:t>Расчёт индивидуальной дозы</w:t>
      </w:r>
    </w:p>
    <w:p w14:paraId="54234630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Общая доза препарата, рассчитываемая в зависимости от площади поверхности тела (ППТ), определяется по следующей формуле:</w:t>
      </w:r>
    </w:p>
    <w:p w14:paraId="684884AA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Общая доза (мг) = Доза (мг/м²) × Площадь поверхности тела (м²).</w:t>
      </w:r>
    </w:p>
    <w:p w14:paraId="411656CF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 xml:space="preserve">Следующая таблица приведена только в качестве примера, демонстрирующего, как рассчитывается индивидуальная доза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азацитидина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на основании среднего значения площади поверхности тела (ППТ) — 1,8 м².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1463"/>
        <w:gridCol w:w="2233"/>
        <w:gridCol w:w="2755"/>
      </w:tblGrid>
      <w:tr w:rsidR="00776BEB" w:rsidRPr="00776BEB" w14:paraId="591DB58A" w14:textId="77777777" w:rsidTr="002E7115">
        <w:trPr>
          <w:tblHeader/>
          <w:tblCellSpacing w:w="15" w:type="dxa"/>
        </w:trPr>
        <w:tc>
          <w:tcPr>
            <w:tcW w:w="2675" w:type="dxa"/>
            <w:vAlign w:val="center"/>
            <w:hideMark/>
          </w:tcPr>
          <w:p w14:paraId="110D1001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 xml:space="preserve">Доза, мг/м² </w:t>
            </w:r>
          </w:p>
          <w:p w14:paraId="3D2BB0CF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776BEB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% от рекомендованной начальной дозы</w:t>
            </w:r>
            <w:r w:rsidRPr="00776BEB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433" w:type="dxa"/>
            <w:vAlign w:val="center"/>
            <w:hideMark/>
          </w:tcPr>
          <w:p w14:paraId="502AC2C0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76BEB">
              <w:rPr>
                <w:rFonts w:ascii="Times New Roman" w:hAnsi="Times New Roman"/>
                <w:sz w:val="28"/>
                <w:szCs w:val="28"/>
                <w:u w:val="single"/>
              </w:rPr>
              <w:t>Общая доза при ППТ 1,8 м²</w:t>
            </w:r>
          </w:p>
        </w:tc>
        <w:tc>
          <w:tcPr>
            <w:tcW w:w="0" w:type="auto"/>
            <w:vAlign w:val="center"/>
            <w:hideMark/>
          </w:tcPr>
          <w:p w14:paraId="137E1984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76BEB">
              <w:rPr>
                <w:rFonts w:ascii="Times New Roman" w:hAnsi="Times New Roman"/>
                <w:sz w:val="28"/>
                <w:szCs w:val="28"/>
                <w:u w:val="single"/>
              </w:rPr>
              <w:t>Необходимое количество флаконов</w:t>
            </w:r>
          </w:p>
        </w:tc>
        <w:tc>
          <w:tcPr>
            <w:tcW w:w="0" w:type="auto"/>
            <w:vAlign w:val="center"/>
            <w:hideMark/>
          </w:tcPr>
          <w:p w14:paraId="67A5A7A8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76BEB">
              <w:rPr>
                <w:rFonts w:ascii="Times New Roman" w:hAnsi="Times New Roman"/>
                <w:sz w:val="28"/>
                <w:szCs w:val="28"/>
                <w:u w:val="single"/>
              </w:rPr>
              <w:t>Общий объём восстановленной суспензии</w:t>
            </w:r>
          </w:p>
        </w:tc>
      </w:tr>
      <w:tr w:rsidR="00776BEB" w:rsidRPr="00776BEB" w14:paraId="0C9E32DF" w14:textId="77777777" w:rsidTr="002E7115">
        <w:trPr>
          <w:tblCellSpacing w:w="15" w:type="dxa"/>
        </w:trPr>
        <w:tc>
          <w:tcPr>
            <w:tcW w:w="2675" w:type="dxa"/>
            <w:vAlign w:val="center"/>
            <w:hideMark/>
          </w:tcPr>
          <w:p w14:paraId="63CA6358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75 мг/м² (100%)</w:t>
            </w:r>
          </w:p>
        </w:tc>
        <w:tc>
          <w:tcPr>
            <w:tcW w:w="1433" w:type="dxa"/>
            <w:vAlign w:val="center"/>
            <w:hideMark/>
          </w:tcPr>
          <w:p w14:paraId="66521C9B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135 мг</w:t>
            </w:r>
          </w:p>
        </w:tc>
        <w:tc>
          <w:tcPr>
            <w:tcW w:w="0" w:type="auto"/>
            <w:vAlign w:val="center"/>
            <w:hideMark/>
          </w:tcPr>
          <w:p w14:paraId="772046E3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2 флакона</w:t>
            </w:r>
          </w:p>
        </w:tc>
        <w:tc>
          <w:tcPr>
            <w:tcW w:w="0" w:type="auto"/>
            <w:vAlign w:val="center"/>
            <w:hideMark/>
          </w:tcPr>
          <w:p w14:paraId="2C4C77D7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5,4 мл</w:t>
            </w:r>
          </w:p>
        </w:tc>
      </w:tr>
      <w:tr w:rsidR="00776BEB" w:rsidRPr="00776BEB" w14:paraId="1FE3F59B" w14:textId="77777777" w:rsidTr="002E7115">
        <w:trPr>
          <w:tblCellSpacing w:w="15" w:type="dxa"/>
        </w:trPr>
        <w:tc>
          <w:tcPr>
            <w:tcW w:w="2675" w:type="dxa"/>
            <w:vAlign w:val="center"/>
            <w:hideMark/>
          </w:tcPr>
          <w:p w14:paraId="2C125E98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37,5 мг/м² (50%)</w:t>
            </w:r>
          </w:p>
        </w:tc>
        <w:tc>
          <w:tcPr>
            <w:tcW w:w="1433" w:type="dxa"/>
            <w:vAlign w:val="center"/>
            <w:hideMark/>
          </w:tcPr>
          <w:p w14:paraId="57C3AEEE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67,5 мг</w:t>
            </w:r>
          </w:p>
        </w:tc>
        <w:tc>
          <w:tcPr>
            <w:tcW w:w="0" w:type="auto"/>
            <w:vAlign w:val="center"/>
            <w:hideMark/>
          </w:tcPr>
          <w:p w14:paraId="091AC5C5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1 флакон</w:t>
            </w:r>
          </w:p>
        </w:tc>
        <w:tc>
          <w:tcPr>
            <w:tcW w:w="0" w:type="auto"/>
            <w:vAlign w:val="center"/>
            <w:hideMark/>
          </w:tcPr>
          <w:p w14:paraId="6321B9DB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2,7 мл</w:t>
            </w:r>
          </w:p>
        </w:tc>
      </w:tr>
      <w:tr w:rsidR="00776BEB" w:rsidRPr="00776BEB" w14:paraId="308071D4" w14:textId="77777777" w:rsidTr="002E7115">
        <w:trPr>
          <w:tblCellSpacing w:w="15" w:type="dxa"/>
        </w:trPr>
        <w:tc>
          <w:tcPr>
            <w:tcW w:w="2675" w:type="dxa"/>
            <w:vAlign w:val="center"/>
            <w:hideMark/>
          </w:tcPr>
          <w:p w14:paraId="0751F622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25 мг/м² (33%)</w:t>
            </w:r>
          </w:p>
        </w:tc>
        <w:tc>
          <w:tcPr>
            <w:tcW w:w="1433" w:type="dxa"/>
            <w:vAlign w:val="center"/>
            <w:hideMark/>
          </w:tcPr>
          <w:p w14:paraId="6E5C1A04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45 мг</w:t>
            </w:r>
          </w:p>
        </w:tc>
        <w:tc>
          <w:tcPr>
            <w:tcW w:w="0" w:type="auto"/>
            <w:vAlign w:val="center"/>
            <w:hideMark/>
          </w:tcPr>
          <w:p w14:paraId="5E5EF6F9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1 флакон</w:t>
            </w:r>
          </w:p>
        </w:tc>
        <w:tc>
          <w:tcPr>
            <w:tcW w:w="0" w:type="auto"/>
            <w:vAlign w:val="center"/>
            <w:hideMark/>
          </w:tcPr>
          <w:p w14:paraId="7C35A178" w14:textId="77777777" w:rsidR="00776BEB" w:rsidRPr="00776BEB" w:rsidRDefault="00776BEB" w:rsidP="00776B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BEB">
              <w:rPr>
                <w:rFonts w:ascii="Times New Roman" w:hAnsi="Times New Roman"/>
                <w:sz w:val="28"/>
                <w:szCs w:val="28"/>
              </w:rPr>
              <w:t>1,8 мл</w:t>
            </w:r>
          </w:p>
        </w:tc>
      </w:tr>
    </w:tbl>
    <w:p w14:paraId="4A9BA7F5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76BEB">
        <w:rPr>
          <w:rFonts w:ascii="Times New Roman" w:hAnsi="Times New Roman"/>
          <w:i/>
          <w:iCs/>
          <w:sz w:val="28"/>
          <w:szCs w:val="28"/>
        </w:rPr>
        <w:t>Способ введения</w:t>
      </w:r>
    </w:p>
    <w:p w14:paraId="508748F4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 xml:space="preserve">Восстановленный препарат </w:t>
      </w:r>
      <w:proofErr w:type="spellStart"/>
      <w:r w:rsidRPr="00776BEB">
        <w:rPr>
          <w:rFonts w:ascii="Times New Roman" w:hAnsi="Times New Roman"/>
          <w:sz w:val="28"/>
          <w:szCs w:val="28"/>
        </w:rPr>
        <w:t>Азапан</w:t>
      </w:r>
      <w:proofErr w:type="spellEnd"/>
      <w:r w:rsidRPr="00776BEB">
        <w:rPr>
          <w:rFonts w:ascii="Times New Roman" w:hAnsi="Times New Roman"/>
          <w:sz w:val="28"/>
          <w:szCs w:val="28"/>
        </w:rPr>
        <w:t xml:space="preserve"> следует вводить подкожно, используя иглу калибра 25G (25-гейдж), под углом от 45° до 90°, в область плеча, бедра или живота.</w:t>
      </w:r>
    </w:p>
    <w:p w14:paraId="7106A882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Если объём дозы превышает 4 мл, препарат необходимо вводить в два разных места.</w:t>
      </w:r>
    </w:p>
    <w:p w14:paraId="277B6456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t>Места инъекций следует чередовать. Каждую новую инъекцию следует делать на расстоянии не менее 2,5 см от предыдущего места. Нельзя вводить препарат в участки кожи, где имеются покраснение, уплотнение, болезненность или синяки.</w:t>
      </w:r>
    </w:p>
    <w:p w14:paraId="43C4FA4E" w14:textId="77777777" w:rsidR="00776BEB" w:rsidRPr="00776BEB" w:rsidRDefault="00776BEB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BEB">
        <w:rPr>
          <w:rFonts w:ascii="Times New Roman" w:hAnsi="Times New Roman"/>
          <w:sz w:val="28"/>
          <w:szCs w:val="28"/>
        </w:rPr>
        <w:lastRenderedPageBreak/>
        <w:t>Любой неиспользованный препарат или отходы должны быть утилизированы в соответствии с местными требованиями.</w:t>
      </w:r>
    </w:p>
    <w:p w14:paraId="76C34B9D" w14:textId="77777777" w:rsidR="005C4B12" w:rsidRPr="008633E7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633E7">
        <w:rPr>
          <w:rFonts w:ascii="Times New Roman" w:hAnsi="Times New Roman"/>
          <w:i/>
          <w:sz w:val="24"/>
        </w:rPr>
        <w:t xml:space="preserve"> </w:t>
      </w:r>
    </w:p>
    <w:bookmarkEnd w:id="7"/>
    <w:p w14:paraId="3D38B89A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6BEB">
        <w:rPr>
          <w:rFonts w:ascii="Times New Roman" w:hAnsi="Times New Roman"/>
          <w:color w:val="000000"/>
          <w:sz w:val="28"/>
          <w:szCs w:val="28"/>
        </w:rPr>
        <w:t>В случае передозировки пациент должен находиться под наблюдением с контролем показателей крови и при необходимости получать симптоматическое лечение.</w:t>
      </w:r>
    </w:p>
    <w:p w14:paraId="440EBB72" w14:textId="77777777" w:rsidR="00776BEB" w:rsidRPr="00776BEB" w:rsidRDefault="00776BEB" w:rsidP="00776B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6BEB">
        <w:rPr>
          <w:rFonts w:ascii="Times New Roman" w:hAnsi="Times New Roman"/>
          <w:color w:val="000000"/>
          <w:sz w:val="28"/>
          <w:szCs w:val="28"/>
        </w:rPr>
        <w:t xml:space="preserve">Специфического антидота к </w:t>
      </w:r>
      <w:proofErr w:type="spellStart"/>
      <w:r w:rsidRPr="00776BEB">
        <w:rPr>
          <w:rFonts w:ascii="Times New Roman" w:hAnsi="Times New Roman"/>
          <w:color w:val="000000"/>
          <w:sz w:val="28"/>
          <w:szCs w:val="28"/>
        </w:rPr>
        <w:t>азацитидину</w:t>
      </w:r>
      <w:proofErr w:type="spellEnd"/>
      <w:r w:rsidRPr="00776BEB">
        <w:rPr>
          <w:rFonts w:ascii="Times New Roman" w:hAnsi="Times New Roman"/>
          <w:color w:val="000000"/>
          <w:sz w:val="28"/>
          <w:szCs w:val="28"/>
        </w:rPr>
        <w:t xml:space="preserve"> не существует.</w:t>
      </w:r>
    </w:p>
    <w:p w14:paraId="0439D38B" w14:textId="77777777" w:rsidR="00A12563" w:rsidRPr="008633E7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7527C8" w14:textId="77777777" w:rsidR="001937AD" w:rsidRPr="008633E7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2175220282"/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633E7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8"/>
    <w:p w14:paraId="5E83E48B" w14:textId="77777777" w:rsidR="00443104" w:rsidRDefault="00C446B3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НЛР, зарегистрированные у пациентов с МДС и острым миелоидным лейкозом на фоне лечения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азацитидином</w:t>
      </w:r>
      <w:proofErr w:type="spellEnd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 (в ходе клинических исследований и в пострегистрационном периоде).</w:t>
      </w:r>
    </w:p>
    <w:p w14:paraId="04E38DE1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Очень часто</w:t>
      </w:r>
    </w:p>
    <w:p w14:paraId="28C69B00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– пневмония* (включая бактериальную, вирусную и грибковую),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назофарингит</w:t>
      </w:r>
      <w:proofErr w:type="spellEnd"/>
    </w:p>
    <w:p w14:paraId="6635138F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– фебрильная нейтропения*, нейтропения, лейкопения, тромбоцитопения, анемия</w:t>
      </w:r>
    </w:p>
    <w:p w14:paraId="1D3C3682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– анорексия, снижение аппетита,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гипокалиемия</w:t>
      </w:r>
      <w:proofErr w:type="spellEnd"/>
    </w:p>
    <w:p w14:paraId="2A03DFBC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– бессонница</w:t>
      </w:r>
    </w:p>
    <w:p w14:paraId="71AB0636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– головокружение, головная боль</w:t>
      </w:r>
    </w:p>
    <w:p w14:paraId="491A3A6E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– одышка, носовое кровотечение</w:t>
      </w:r>
    </w:p>
    <w:p w14:paraId="0E406EB2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диарея, рвота, запор, тошнота, боли в животе (включая чувство дискомфорта в эпигастральной области и в животе).</w:t>
      </w:r>
    </w:p>
    <w:p w14:paraId="58E3693F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петехии, зуд (включая генерализованный), сыпь, экхимозы</w:t>
      </w:r>
    </w:p>
    <w:p w14:paraId="274973C6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артралгия, костно-мышечная боль (включая боли в спине, костях и конечностях)</w:t>
      </w:r>
    </w:p>
    <w:p w14:paraId="47EB3D42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пирексия</w:t>
      </w:r>
      <w:proofErr w:type="spellEnd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*, повышенная утомляемость, астения, боль в груди; покраснение в месте введения, боль в месте введения (не уточнены)</w:t>
      </w:r>
    </w:p>
    <w:p w14:paraId="2699EE03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снижение массы тела</w:t>
      </w:r>
    </w:p>
    <w:p w14:paraId="7A4CA52E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Часто</w:t>
      </w:r>
    </w:p>
    <w:p w14:paraId="6969C979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сепсис* (включая бактериальный, вирусный и грибковый), сепсис на фоне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нейтропении</w:t>
      </w:r>
      <w:proofErr w:type="spellEnd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*, инфекции дыхательных путей (верхних отделов и бронхит), инфекции мочевыводящих путей, воспаление подкожной клетчатки,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дивертикулит</w:t>
      </w:r>
      <w:proofErr w:type="spellEnd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, грибковое поражение слизистой оболочки полости рта, синусит, фарингит, ринит, простой герпес, кожные инфекции.</w:t>
      </w:r>
    </w:p>
    <w:p w14:paraId="1A63193A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панцитопения</w:t>
      </w:r>
      <w:proofErr w:type="spellEnd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*, недостаточность костного мозга</w:t>
      </w:r>
    </w:p>
    <w:p w14:paraId="66CB799E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дегидратация</w:t>
      </w:r>
    </w:p>
    <w:p w14:paraId="2705A167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спутанность сознания, тревожность</w:t>
      </w:r>
    </w:p>
    <w:p w14:paraId="1E0DC1B0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внутричерепное кровотечение*, обморок, сонливость, летаргия</w:t>
      </w:r>
    </w:p>
    <w:p w14:paraId="10CC4B8A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внутриглазные кровотечения, кровоизлияния в конъюнктиву.</w:t>
      </w:r>
    </w:p>
    <w:p w14:paraId="087AB55E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выпот в полость перикарда</w:t>
      </w:r>
    </w:p>
    <w:p w14:paraId="668C8E85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снижение артериального давления*, повышение артериального давления, ортостатическая гипотензия, гематомы</w:t>
      </w:r>
    </w:p>
    <w:p w14:paraId="39446713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плевральный выпот, одышка при физической нагрузке, боль в гортани и глотке</w:t>
      </w:r>
    </w:p>
    <w:p w14:paraId="103306D1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желудочно-кишечное кровотечение* (включая кровотечения в полости рта), геморроидальное кровотечение, стоматит, кровоточивость десен, диспепсия</w:t>
      </w:r>
    </w:p>
    <w:p w14:paraId="10993B46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пурпура, алопеция, крапивница, эритема, пятнистая сыпь</w:t>
      </w:r>
    </w:p>
    <w:p w14:paraId="61839A82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мышечные спазмы, миалгия</w:t>
      </w:r>
    </w:p>
    <w:p w14:paraId="10CB6245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почечная недостаточность*, гематурия, повышение уровня креатинина</w:t>
      </w:r>
    </w:p>
    <w:p w14:paraId="658599E6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кровоизлияние, гематома, уплотнение, сыпь, зуд, воспаление, изменение цвета кожных покровов, образование узелков и кровоточивость (в месте инъекции), недомогание, озноб, кровоточивость в месте установки катетера</w:t>
      </w:r>
    </w:p>
    <w:p w14:paraId="516E0C88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Нечасто</w:t>
      </w:r>
    </w:p>
    <w:p w14:paraId="05E3A08A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реакции гиперчувствительности</w:t>
      </w:r>
    </w:p>
    <w:p w14:paraId="08928D87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перикардит</w:t>
      </w:r>
    </w:p>
    <w:p w14:paraId="794C1AC7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печеночная недостаточность*, прогрессирующая печеночная кома</w:t>
      </w:r>
    </w:p>
    <w:p w14:paraId="77AC40F8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острый фебрильный нейтрофильный дерматоз, гангренозная пиодермия</w:t>
      </w:r>
    </w:p>
    <w:p w14:paraId="264573E4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почечный </w:t>
      </w:r>
      <w:proofErr w:type="spellStart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канальцевый</w:t>
      </w:r>
      <w:proofErr w:type="spellEnd"/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 xml:space="preserve"> ацидоз</w:t>
      </w:r>
    </w:p>
    <w:p w14:paraId="517BA6CD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Редко</w:t>
      </w:r>
    </w:p>
    <w:p w14:paraId="0FBAF06D" w14:textId="77777777" w:rsid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C446B3">
        <w:rPr>
          <w:rFonts w:ascii="Times New Roman" w:eastAsia="Times New Roman" w:hAnsi="Times New Roman"/>
          <w:sz w:val="28"/>
          <w:szCs w:val="28"/>
          <w:lang w:eastAsia="ru-RU"/>
        </w:rPr>
        <w:t>синдром лизиса опухоли</w:t>
      </w:r>
    </w:p>
    <w:p w14:paraId="11A632EF" w14:textId="77777777" w:rsidR="00C446B3" w:rsidRDefault="00B875A1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>интерстициальное заболевание легких.</w:t>
      </w:r>
    </w:p>
    <w:p w14:paraId="2FFCAA2E" w14:textId="77777777" w:rsidR="00B875A1" w:rsidRPr="00C446B3" w:rsidRDefault="00B875A1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>некроз в месте инъекции</w:t>
      </w:r>
    </w:p>
    <w:p w14:paraId="0B1978C3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3A8058" w14:textId="77777777" w:rsidR="00C446B3" w:rsidRPr="00C446B3" w:rsidRDefault="00C446B3" w:rsidP="00C446B3">
      <w:pPr>
        <w:pStyle w:val="ac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446B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Неизвестно (невозможно оценить на основании имеющихся данных)</w:t>
      </w:r>
    </w:p>
    <w:p w14:paraId="3E5A8FF4" w14:textId="77777777" w:rsidR="00C446B3" w:rsidRDefault="00B875A1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>некротизирующий</w:t>
      </w:r>
      <w:proofErr w:type="spellEnd"/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>фасциит</w:t>
      </w:r>
      <w:proofErr w:type="spellEnd"/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14:paraId="33515158" w14:textId="77777777" w:rsidR="00B875A1" w:rsidRDefault="00B875A1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>дифференцировочный</w:t>
      </w:r>
      <w:proofErr w:type="spellEnd"/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синдром</w:t>
      </w:r>
      <w:proofErr w:type="gramStart"/>
      <w:r w:rsidRPr="009F59A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*</w:t>
      </w:r>
      <w:r w:rsidR="009F59A5" w:rsidRPr="009F59A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,а</w:t>
      </w:r>
      <w:proofErr w:type="gramEnd"/>
    </w:p>
    <w:p w14:paraId="51AA5E4E" w14:textId="77777777" w:rsidR="00B875A1" w:rsidRDefault="00B875A1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B875A1">
        <w:rPr>
          <w:rFonts w:ascii="Times New Roman" w:eastAsia="Times New Roman" w:hAnsi="Times New Roman"/>
          <w:sz w:val="28"/>
          <w:szCs w:val="28"/>
          <w:lang w:eastAsia="ru-RU"/>
        </w:rPr>
        <w:t>кожный васкулит</w:t>
      </w:r>
    </w:p>
    <w:p w14:paraId="0FF0BF2A" w14:textId="77777777" w:rsidR="00B875A1" w:rsidRDefault="00B875A1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E26628" w14:textId="77777777" w:rsidR="00C446B3" w:rsidRPr="00AC590D" w:rsidRDefault="00B875A1" w:rsidP="00844CE8">
      <w:pPr>
        <w:pStyle w:val="ac"/>
        <w:jc w:val="both"/>
        <w:rPr>
          <w:rFonts w:ascii="Times New Roman" w:eastAsia="Times New Roman" w:hAnsi="Times New Roman"/>
          <w:lang w:eastAsia="ru-RU"/>
        </w:rPr>
      </w:pPr>
      <w:r w:rsidRPr="00AC590D">
        <w:rPr>
          <w:rFonts w:ascii="Times New Roman" w:eastAsia="Times New Roman" w:hAnsi="Times New Roman"/>
          <w:lang w:eastAsia="ru-RU"/>
        </w:rPr>
        <w:t>*- редко сопровождались летальным исходом.</w:t>
      </w:r>
    </w:p>
    <w:p w14:paraId="0575D358" w14:textId="77777777" w:rsidR="00B875A1" w:rsidRPr="00AC590D" w:rsidRDefault="00B875A1" w:rsidP="00844CE8">
      <w:pPr>
        <w:pStyle w:val="ac"/>
        <w:jc w:val="both"/>
        <w:rPr>
          <w:rFonts w:ascii="Times New Roman" w:eastAsia="Times New Roman" w:hAnsi="Times New Roman"/>
          <w:lang w:eastAsia="ru-RU"/>
        </w:rPr>
      </w:pPr>
      <w:r w:rsidRPr="00AC590D">
        <w:rPr>
          <w:rFonts w:ascii="Times New Roman" w:eastAsia="Times New Roman" w:hAnsi="Times New Roman"/>
          <w:lang w:eastAsia="ru-RU"/>
        </w:rPr>
        <w:t>а – см. раздел «специальные предупреждения».</w:t>
      </w:r>
    </w:p>
    <w:p w14:paraId="14397D09" w14:textId="77777777" w:rsidR="00B875A1" w:rsidRPr="008633E7" w:rsidRDefault="00B875A1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7E803B" w14:textId="77777777" w:rsidR="00827BB2" w:rsidRPr="008633E7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633E7">
        <w:rPr>
          <w:rFonts w:ascii="Times New Roman" w:hAnsi="Times New Roman"/>
          <w:b/>
          <w:color w:val="000000"/>
          <w:sz w:val="28"/>
        </w:rPr>
        <w:t>П</w:t>
      </w:r>
      <w:r w:rsidR="00D93C80" w:rsidRPr="008633E7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 w:rsidRPr="008633E7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633E7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633E7">
        <w:rPr>
          <w:rFonts w:ascii="Times New Roman" w:hAnsi="Times New Roman"/>
          <w:b/>
          <w:color w:val="000000"/>
          <w:sz w:val="28"/>
        </w:rPr>
        <w:t xml:space="preserve"> </w:t>
      </w:r>
    </w:p>
    <w:p w14:paraId="1C0A5FF5" w14:textId="77777777" w:rsidR="006703A5" w:rsidRPr="008633E7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3E7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8633E7">
        <w:rPr>
          <w:rFonts w:ascii="Times New Roman" w:hAnsi="Times New Roman"/>
          <w:sz w:val="28"/>
          <w:szCs w:val="28"/>
        </w:rPr>
        <w:t xml:space="preserve">Комитета медицинского и фармацевтического контроля </w:t>
      </w:r>
      <w:r w:rsidRPr="008633E7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550FEBAE" w14:textId="77777777" w:rsidR="006703A5" w:rsidRPr="008633E7" w:rsidRDefault="001A3FD7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8633E7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8633E7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8633E7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8633E7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8633E7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8633E7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8633E7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5ED15C75" w14:textId="77777777" w:rsidR="006703A5" w:rsidRPr="008633E7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D4E413" w14:textId="77777777" w:rsidR="000C2C4B" w:rsidRPr="008633E7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Дополнительные сведения</w:t>
      </w:r>
    </w:p>
    <w:p w14:paraId="223E7223" w14:textId="77777777" w:rsidR="006B7A90" w:rsidRPr="008633E7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9" w:name="2175220285"/>
      <w:r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50AD7C42" w14:textId="77777777" w:rsidR="006B7A90" w:rsidRPr="008633E7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0" w:name="2175220286"/>
      <w:bookmarkEnd w:id="9"/>
      <w:r w:rsidRPr="008633E7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F53350" w:rsidRPr="008633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 флакон </w:t>
      </w:r>
      <w:r w:rsidRPr="008633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содержит </w:t>
      </w:r>
    </w:p>
    <w:p w14:paraId="2A84DE1F" w14:textId="77777777" w:rsidR="006B7A90" w:rsidRPr="008633E7" w:rsidRDefault="00844CE8" w:rsidP="00F53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F53350" w:rsidRPr="008633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азацитидин</w:t>
      </w:r>
      <w:proofErr w:type="spellEnd"/>
      <w:r w:rsidR="00F53350" w:rsidRPr="008633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100.00 мг;</w:t>
      </w:r>
    </w:p>
    <w:p w14:paraId="464A258D" w14:textId="77777777" w:rsidR="006B7A90" w:rsidRPr="008633E7" w:rsidRDefault="006B7A90" w:rsidP="00844CE8">
      <w:pPr>
        <w:spacing w:after="0" w:line="240" w:lineRule="auto"/>
        <w:jc w:val="both"/>
        <w:rPr>
          <w:rFonts w:ascii="Times New Roman" w:hAnsi="Times New Roman"/>
          <w:iCs/>
          <w:spacing w:val="-2"/>
          <w:sz w:val="28"/>
          <w:szCs w:val="28"/>
          <w:lang w:val="uk-UA"/>
        </w:rPr>
      </w:pPr>
      <w:r w:rsidRPr="008633E7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F53350" w:rsidRPr="008633E7">
        <w:rPr>
          <w:rFonts w:ascii="Times New Roman" w:hAnsi="Times New Roman"/>
          <w:sz w:val="28"/>
          <w:szCs w:val="28"/>
        </w:rPr>
        <w:t>маннитол (</w:t>
      </w:r>
      <w:proofErr w:type="spellStart"/>
      <w:r w:rsidR="00F53350" w:rsidRPr="008633E7">
        <w:rPr>
          <w:rFonts w:ascii="Times New Roman" w:hAnsi="Times New Roman"/>
          <w:sz w:val="28"/>
          <w:szCs w:val="28"/>
        </w:rPr>
        <w:t>Pearlitol</w:t>
      </w:r>
      <w:proofErr w:type="spellEnd"/>
      <w:r w:rsidR="00F53350" w:rsidRPr="008633E7">
        <w:rPr>
          <w:rFonts w:ascii="Times New Roman" w:hAnsi="Times New Roman"/>
          <w:sz w:val="28"/>
          <w:szCs w:val="28"/>
        </w:rPr>
        <w:t xml:space="preserve"> PF) (</w:t>
      </w:r>
      <w:proofErr w:type="spellStart"/>
      <w:r w:rsidR="00F53350" w:rsidRPr="008633E7">
        <w:rPr>
          <w:rFonts w:ascii="Times New Roman" w:hAnsi="Times New Roman"/>
          <w:sz w:val="28"/>
          <w:szCs w:val="28"/>
        </w:rPr>
        <w:t>апирогенный</w:t>
      </w:r>
      <w:proofErr w:type="spellEnd"/>
      <w:r w:rsidR="00F53350" w:rsidRPr="008633E7">
        <w:rPr>
          <w:rFonts w:ascii="Times New Roman" w:hAnsi="Times New Roman"/>
          <w:sz w:val="28"/>
          <w:szCs w:val="28"/>
        </w:rPr>
        <w:t xml:space="preserve"> инъекционный сорт), вода для инъекций, азот.</w:t>
      </w:r>
    </w:p>
    <w:p w14:paraId="258F6758" w14:textId="77777777" w:rsidR="00C91310" w:rsidRPr="008633E7" w:rsidRDefault="00C9131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97C5BA3" w14:textId="77777777" w:rsidR="006B7A90" w:rsidRPr="008633E7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10"/>
    <w:p w14:paraId="02D42654" w14:textId="77777777" w:rsidR="00F53350" w:rsidRPr="008633E7" w:rsidRDefault="00F53350" w:rsidP="00F5335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 xml:space="preserve">Белый или почти белый </w:t>
      </w:r>
      <w:proofErr w:type="spellStart"/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>лиофилизированный</w:t>
      </w:r>
      <w:proofErr w:type="spellEnd"/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порошок.</w:t>
      </w:r>
    </w:p>
    <w:p w14:paraId="1FCF1B24" w14:textId="77777777" w:rsidR="00F53350" w:rsidRPr="008633E7" w:rsidRDefault="00F53350" w:rsidP="00F53350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>Восстановленный раствор – прозрачный бесцветный раствор без видимых частиц.</w:t>
      </w:r>
    </w:p>
    <w:p w14:paraId="6750F784" w14:textId="77777777" w:rsidR="006B7A90" w:rsidRPr="008633E7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345FB7" w14:textId="77777777" w:rsidR="00C9308C" w:rsidRPr="008633E7" w:rsidRDefault="00F5335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1" w:name="2175220287"/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7C48C45F" w14:textId="77777777" w:rsidR="00957307" w:rsidRPr="008633E7" w:rsidRDefault="00CB34AF" w:rsidP="009573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>Препарат</w:t>
      </w:r>
      <w:r w:rsidR="00957307" w:rsidRPr="008633E7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помещают в прозрачный бесцветный флакон вместимостью 50 мл, укупоренный резиновой пробкой с двойными прорезями, обжатый алюминиевым кольцом и запечатанный полипропиленовой крышкой типа «</w:t>
      </w:r>
      <w:proofErr w:type="spellStart"/>
      <w:r w:rsidR="00957307" w:rsidRPr="008633E7">
        <w:rPr>
          <w:rFonts w:ascii="Times New Roman" w:eastAsia="Times New Roman" w:hAnsi="Times New Roman"/>
          <w:sz w:val="28"/>
          <w:szCs w:val="28"/>
          <w:lang w:eastAsia="ru-RU"/>
        </w:rPr>
        <w:t>flip-off</w:t>
      </w:r>
      <w:proofErr w:type="spellEnd"/>
      <w:r w:rsidR="00957307" w:rsidRPr="008633E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0EA26900" w14:textId="77777777" w:rsidR="00957307" w:rsidRPr="008633E7" w:rsidRDefault="00957307" w:rsidP="009573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 xml:space="preserve">На флакон клеят этикетку самоклеящуюся. </w:t>
      </w:r>
    </w:p>
    <w:p w14:paraId="07A2DB7A" w14:textId="77777777" w:rsidR="006D5B76" w:rsidRPr="008633E7" w:rsidRDefault="00957307" w:rsidP="009573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>По 1 флакону вместе с инструкцией по медицинскому применению на казахском и русском языках вкладывают в пачку из картона.</w:t>
      </w:r>
    </w:p>
    <w:p w14:paraId="0DCA8CD3" w14:textId="77777777" w:rsidR="00957307" w:rsidRPr="008633E7" w:rsidRDefault="00957307" w:rsidP="0095730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89224A" w14:textId="77777777" w:rsidR="00844CE8" w:rsidRPr="008633E7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DF54E18" w14:textId="77777777" w:rsidR="00CB1BB8" w:rsidRPr="008633E7" w:rsidRDefault="00CB1BB8" w:rsidP="00CB1B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2175220288"/>
      <w:bookmarkEnd w:id="11"/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>2 года</w:t>
      </w:r>
    </w:p>
    <w:p w14:paraId="26C1C710" w14:textId="77777777" w:rsidR="00DC33F0" w:rsidRPr="008633E7" w:rsidRDefault="00CB1BB8" w:rsidP="00CB1B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sz w:val="28"/>
          <w:szCs w:val="28"/>
          <w:lang w:eastAsia="ru-RU"/>
        </w:rPr>
        <w:t>Не применять по истечении срока годности.</w:t>
      </w:r>
    </w:p>
    <w:p w14:paraId="72FE6A34" w14:textId="77777777" w:rsidR="00CB1BB8" w:rsidRPr="008633E7" w:rsidRDefault="00CB1BB8" w:rsidP="00CB1BB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253D5257" w14:textId="77777777" w:rsidR="000E01AB" w:rsidRPr="008633E7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3C8C9A6A" w14:textId="77777777" w:rsidR="00CB1BB8" w:rsidRPr="008633E7" w:rsidRDefault="00CB1BB8" w:rsidP="00844CE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33E7">
        <w:rPr>
          <w:rFonts w:ascii="Times New Roman" w:hAnsi="Times New Roman"/>
          <w:color w:val="000000" w:themeColor="text1"/>
          <w:sz w:val="28"/>
          <w:szCs w:val="28"/>
        </w:rPr>
        <w:t xml:space="preserve">Хранить при температуре не выше 25 ºС. </w:t>
      </w:r>
    </w:p>
    <w:p w14:paraId="790CA0EE" w14:textId="77777777" w:rsidR="00D14D61" w:rsidRPr="008633E7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3E7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3" w:name="2175220289"/>
      <w:bookmarkEnd w:id="12"/>
    </w:p>
    <w:bookmarkEnd w:id="13"/>
    <w:p w14:paraId="7486D526" w14:textId="77777777" w:rsidR="006B7A90" w:rsidRPr="008633E7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AC1B65" w14:textId="77777777" w:rsidR="00F545E0" w:rsidRPr="008633E7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33E7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2CA3F6FE" w14:textId="77777777" w:rsidR="006C6558" w:rsidRPr="008633E7" w:rsidRDefault="009E69BC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29472725" w14:textId="77777777" w:rsidR="009E69BC" w:rsidRPr="008633E7" w:rsidRDefault="009E69B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B58B1D" w14:textId="77777777" w:rsidR="006B7A90" w:rsidRPr="008633E7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34A694C1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Panacea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Biotec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Ltd</w:t>
      </w:r>
      <w:r w:rsidRPr="008633E7">
        <w:rPr>
          <w:rFonts w:ascii="Times New Roman" w:hAnsi="Times New Roman"/>
          <w:color w:val="000000"/>
          <w:sz w:val="28"/>
          <w:szCs w:val="28"/>
        </w:rPr>
        <w:t>.,</w:t>
      </w:r>
    </w:p>
    <w:p w14:paraId="75A572F2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Malpur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Baddi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8633E7">
        <w:rPr>
          <w:rFonts w:ascii="Times New Roman" w:hAnsi="Times New Roman"/>
          <w:color w:val="000000"/>
          <w:sz w:val="28"/>
          <w:szCs w:val="28"/>
        </w:rPr>
        <w:t>Малпур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 xml:space="preserve"> Бадди,</w:t>
      </w:r>
    </w:p>
    <w:p w14:paraId="6737AF03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Distt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Solan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8633E7">
        <w:rPr>
          <w:rFonts w:ascii="Times New Roman" w:hAnsi="Times New Roman"/>
          <w:color w:val="000000"/>
          <w:sz w:val="28"/>
          <w:szCs w:val="28"/>
        </w:rPr>
        <w:t>.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173205, Индия</w:t>
      </w:r>
    </w:p>
    <w:p w14:paraId="5E420517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</w:rPr>
        <w:t>тел: +91-11-41678000</w:t>
      </w:r>
    </w:p>
    <w:p w14:paraId="25CA3EFD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</w:rPr>
        <w:t>факс: +91-11-41679063</w:t>
      </w:r>
    </w:p>
    <w:p w14:paraId="5ADF3E82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</w:rPr>
        <w:t xml:space="preserve">адрес электронной почты: </w:t>
      </w:r>
      <w:hyperlink r:id="rId9" w:history="1">
        <w:r w:rsidRPr="008633E7">
          <w:rPr>
            <w:rStyle w:val="af"/>
            <w:rFonts w:ascii="Times New Roman" w:hAnsi="Times New Roman"/>
            <w:color w:val="000000"/>
            <w:sz w:val="28"/>
            <w:szCs w:val="28"/>
          </w:rPr>
          <w:t>pharma@panaceabiotec.com</w:t>
        </w:r>
      </w:hyperlink>
    </w:p>
    <w:p w14:paraId="416DEFD2" w14:textId="77777777" w:rsidR="00DC33F0" w:rsidRPr="008633E7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962907" w14:textId="77777777" w:rsidR="00D76048" w:rsidRPr="008633E7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3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633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68B0ADEF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Panacea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Biotec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Ltd</w:t>
      </w:r>
      <w:r w:rsidRPr="008633E7">
        <w:rPr>
          <w:rFonts w:ascii="Times New Roman" w:hAnsi="Times New Roman"/>
          <w:color w:val="000000"/>
          <w:sz w:val="28"/>
          <w:szCs w:val="28"/>
        </w:rPr>
        <w:t>.,</w:t>
      </w:r>
    </w:p>
    <w:p w14:paraId="5D0D9319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Malpur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Baddi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8633E7">
        <w:rPr>
          <w:rFonts w:ascii="Times New Roman" w:hAnsi="Times New Roman"/>
          <w:color w:val="000000"/>
          <w:sz w:val="28"/>
          <w:szCs w:val="28"/>
        </w:rPr>
        <w:t>Малпур</w:t>
      </w:r>
      <w:proofErr w:type="spellEnd"/>
      <w:r w:rsidRPr="008633E7">
        <w:rPr>
          <w:rFonts w:ascii="Times New Roman" w:hAnsi="Times New Roman"/>
          <w:color w:val="000000"/>
          <w:sz w:val="28"/>
          <w:szCs w:val="28"/>
        </w:rPr>
        <w:t xml:space="preserve"> Бадди,</w:t>
      </w:r>
    </w:p>
    <w:p w14:paraId="6CD107C9" w14:textId="77777777" w:rsidR="009E69BC" w:rsidRPr="008633E7" w:rsidRDefault="009E69BC" w:rsidP="009E69BC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Distt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Solan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8633E7">
        <w:rPr>
          <w:rFonts w:ascii="Times New Roman" w:hAnsi="Times New Roman"/>
          <w:color w:val="000000"/>
          <w:sz w:val="28"/>
          <w:szCs w:val="28"/>
        </w:rPr>
        <w:t>.</w:t>
      </w:r>
      <w:r w:rsidRPr="008633E7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8633E7">
        <w:rPr>
          <w:rFonts w:ascii="Times New Roman" w:hAnsi="Times New Roman"/>
          <w:color w:val="000000"/>
          <w:sz w:val="28"/>
          <w:szCs w:val="28"/>
        </w:rPr>
        <w:t xml:space="preserve"> 173205, Индия</w:t>
      </w:r>
    </w:p>
    <w:p w14:paraId="2A24A4D4" w14:textId="77777777" w:rsidR="00C91310" w:rsidRPr="008633E7" w:rsidRDefault="00C91310" w:rsidP="00891711">
      <w:pPr>
        <w:pStyle w:val="23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D427C4" w14:textId="77777777" w:rsidR="009E69BC" w:rsidRPr="008633E7" w:rsidRDefault="009E69BC" w:rsidP="009E69BC">
      <w:pPr>
        <w:pStyle w:val="ConsPlusNormal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8633E7">
        <w:rPr>
          <w:rFonts w:eastAsia="Calibri"/>
          <w:b/>
          <w:iCs/>
          <w:sz w:val="28"/>
          <w:szCs w:val="28"/>
          <w:lang w:eastAsia="en-US"/>
        </w:rPr>
        <w:t>Наименование, адрес и контактные данные (телефон, факс,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  <w:t>электронная почта) организации на территории Республики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  <w:t>Казахстан, принимающей претензии (предложения) по качеству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  <w:t>лекарственных средств от потребителей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</w:r>
      <w:r w:rsidRPr="008633E7">
        <w:rPr>
          <w:rFonts w:eastAsia="Calibri"/>
          <w:bCs/>
          <w:iCs/>
          <w:sz w:val="28"/>
          <w:szCs w:val="28"/>
          <w:lang w:eastAsia="en-US"/>
        </w:rPr>
        <w:t xml:space="preserve">ТОО «Rogers Pharma», Казахстан, 050043, г. Алматы, мкн. </w:t>
      </w:r>
      <w:proofErr w:type="spellStart"/>
      <w:r w:rsidRPr="008633E7">
        <w:rPr>
          <w:rFonts w:eastAsia="Calibri"/>
          <w:bCs/>
          <w:iCs/>
          <w:sz w:val="28"/>
          <w:szCs w:val="28"/>
          <w:lang w:eastAsia="en-US"/>
        </w:rPr>
        <w:t>Мирас</w:t>
      </w:r>
      <w:proofErr w:type="spellEnd"/>
      <w:r w:rsidRPr="008633E7">
        <w:rPr>
          <w:rFonts w:eastAsia="Calibri"/>
          <w:bCs/>
          <w:iCs/>
          <w:sz w:val="28"/>
          <w:szCs w:val="28"/>
          <w:lang w:eastAsia="en-US"/>
        </w:rPr>
        <w:t>, д. 157,</w:t>
      </w:r>
      <w:r w:rsidRPr="008633E7">
        <w:rPr>
          <w:rFonts w:eastAsia="Calibri"/>
          <w:bCs/>
          <w:iCs/>
          <w:sz w:val="28"/>
          <w:szCs w:val="28"/>
          <w:lang w:eastAsia="en-US"/>
        </w:rPr>
        <w:br/>
        <w:t xml:space="preserve">блок 2, </w:t>
      </w:r>
      <w:proofErr w:type="spellStart"/>
      <w:r w:rsidRPr="008633E7">
        <w:rPr>
          <w:rFonts w:eastAsia="Calibri"/>
          <w:bCs/>
          <w:iCs/>
          <w:sz w:val="28"/>
          <w:szCs w:val="28"/>
          <w:lang w:eastAsia="en-US"/>
        </w:rPr>
        <w:t>н.п</w:t>
      </w:r>
      <w:proofErr w:type="spellEnd"/>
      <w:r w:rsidRPr="008633E7">
        <w:rPr>
          <w:rFonts w:eastAsia="Calibri"/>
          <w:bCs/>
          <w:iCs/>
          <w:sz w:val="28"/>
          <w:szCs w:val="28"/>
          <w:lang w:eastAsia="en-US"/>
        </w:rPr>
        <w:t>. 819.</w:t>
      </w:r>
    </w:p>
    <w:p w14:paraId="18066060" w14:textId="77777777" w:rsidR="009E69BC" w:rsidRPr="008633E7" w:rsidRDefault="009E69BC" w:rsidP="009E69BC">
      <w:pPr>
        <w:pStyle w:val="ConsPlusNormal"/>
        <w:rPr>
          <w:rFonts w:eastAsia="Calibri"/>
          <w:bCs/>
          <w:iCs/>
          <w:sz w:val="28"/>
          <w:szCs w:val="28"/>
          <w:lang w:eastAsia="en-US"/>
        </w:rPr>
      </w:pPr>
      <w:r w:rsidRPr="008633E7">
        <w:rPr>
          <w:rFonts w:eastAsia="Calibri"/>
          <w:bCs/>
          <w:iCs/>
          <w:sz w:val="28"/>
          <w:szCs w:val="28"/>
          <w:lang w:eastAsia="en-US"/>
        </w:rPr>
        <w:t xml:space="preserve">Тел. +7 (727) 311-81-96/97, </w:t>
      </w:r>
      <w:r w:rsidRPr="008633E7">
        <w:rPr>
          <w:rFonts w:eastAsia="Calibri"/>
          <w:bCs/>
          <w:iCs/>
          <w:sz w:val="28"/>
          <w:szCs w:val="28"/>
          <w:lang w:val="en-US" w:eastAsia="en-US"/>
        </w:rPr>
        <w:t>e</w:t>
      </w:r>
      <w:r w:rsidRPr="008633E7">
        <w:rPr>
          <w:rFonts w:eastAsia="Calibri"/>
          <w:bCs/>
          <w:iCs/>
          <w:sz w:val="28"/>
          <w:szCs w:val="28"/>
          <w:lang w:eastAsia="en-US"/>
        </w:rPr>
        <w:t>-</w:t>
      </w:r>
      <w:r w:rsidRPr="008633E7">
        <w:rPr>
          <w:rFonts w:eastAsia="Calibri"/>
          <w:bCs/>
          <w:iCs/>
          <w:sz w:val="28"/>
          <w:szCs w:val="28"/>
          <w:lang w:val="en-US" w:eastAsia="en-US"/>
        </w:rPr>
        <w:t>mail</w:t>
      </w:r>
      <w:r w:rsidRPr="008633E7">
        <w:rPr>
          <w:rFonts w:eastAsia="Calibri"/>
          <w:bCs/>
          <w:iCs/>
          <w:sz w:val="28"/>
          <w:szCs w:val="28"/>
          <w:lang w:eastAsia="en-US"/>
        </w:rPr>
        <w:t xml:space="preserve">: </w:t>
      </w:r>
      <w:r w:rsidRPr="008633E7">
        <w:rPr>
          <w:rFonts w:eastAsia="Calibri"/>
          <w:bCs/>
          <w:iCs/>
          <w:sz w:val="28"/>
          <w:szCs w:val="28"/>
          <w:lang w:val="en-US" w:eastAsia="en-US"/>
        </w:rPr>
        <w:t>office</w:t>
      </w:r>
      <w:r w:rsidRPr="008633E7">
        <w:rPr>
          <w:rFonts w:eastAsia="Calibri"/>
          <w:bCs/>
          <w:iCs/>
          <w:sz w:val="28"/>
          <w:szCs w:val="28"/>
          <w:lang w:eastAsia="en-US"/>
        </w:rPr>
        <w:t>.</w:t>
      </w:r>
      <w:r w:rsidRPr="008633E7">
        <w:rPr>
          <w:rFonts w:eastAsia="Calibri"/>
          <w:bCs/>
          <w:iCs/>
          <w:sz w:val="28"/>
          <w:szCs w:val="28"/>
          <w:lang w:val="en-US" w:eastAsia="en-US"/>
        </w:rPr>
        <w:t>secretary</w:t>
      </w:r>
      <w:r w:rsidRPr="008633E7">
        <w:rPr>
          <w:rFonts w:eastAsia="Calibri"/>
          <w:bCs/>
          <w:iCs/>
          <w:sz w:val="28"/>
          <w:szCs w:val="28"/>
          <w:lang w:eastAsia="en-US"/>
        </w:rPr>
        <w:t>@</w:t>
      </w:r>
      <w:proofErr w:type="spellStart"/>
      <w:r w:rsidRPr="008633E7">
        <w:rPr>
          <w:rFonts w:eastAsia="Calibri"/>
          <w:bCs/>
          <w:iCs/>
          <w:sz w:val="28"/>
          <w:szCs w:val="28"/>
          <w:lang w:val="en-US" w:eastAsia="en-US"/>
        </w:rPr>
        <w:t>rogersgroup</w:t>
      </w:r>
      <w:proofErr w:type="spellEnd"/>
      <w:r w:rsidRPr="008633E7">
        <w:rPr>
          <w:rFonts w:eastAsia="Calibri"/>
          <w:bCs/>
          <w:iCs/>
          <w:sz w:val="28"/>
          <w:szCs w:val="28"/>
          <w:lang w:eastAsia="en-US"/>
        </w:rPr>
        <w:t>.</w:t>
      </w:r>
      <w:r w:rsidRPr="008633E7">
        <w:rPr>
          <w:rFonts w:eastAsia="Calibri"/>
          <w:bCs/>
          <w:iCs/>
          <w:sz w:val="28"/>
          <w:szCs w:val="28"/>
          <w:lang w:val="en-US" w:eastAsia="en-US"/>
        </w:rPr>
        <w:t>in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</w:r>
    </w:p>
    <w:p w14:paraId="47ABF201" w14:textId="77777777" w:rsidR="009E69BC" w:rsidRPr="008633E7" w:rsidRDefault="009E69BC" w:rsidP="009E69BC">
      <w:pPr>
        <w:pStyle w:val="ConsPlusNormal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8633E7">
        <w:rPr>
          <w:rFonts w:eastAsia="Calibri"/>
          <w:b/>
          <w:iCs/>
          <w:sz w:val="28"/>
          <w:szCs w:val="28"/>
          <w:lang w:eastAsia="en-US"/>
        </w:rPr>
        <w:t>Наименование, адрес и контактные данные (телефон, факс,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  <w:t>электронная почта) организации на территории Республики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  <w:t>Казахстан, ответственной за пострегистрационное наблюдение за</w:t>
      </w:r>
      <w:r w:rsidRPr="008633E7">
        <w:rPr>
          <w:rFonts w:eastAsia="Calibri"/>
          <w:b/>
          <w:iCs/>
          <w:sz w:val="28"/>
          <w:szCs w:val="28"/>
          <w:lang w:eastAsia="en-US"/>
        </w:rPr>
        <w:br/>
        <w:t>безопасностью лекарственного средства</w:t>
      </w:r>
    </w:p>
    <w:p w14:paraId="2A6FF3DF" w14:textId="77777777" w:rsidR="00DE2137" w:rsidRPr="008633E7" w:rsidRDefault="009E69BC" w:rsidP="009E69BC">
      <w:pPr>
        <w:pStyle w:val="ConsPlusNormal"/>
        <w:rPr>
          <w:rFonts w:eastAsia="Calibri"/>
          <w:bCs/>
          <w:iCs/>
          <w:sz w:val="28"/>
          <w:szCs w:val="28"/>
          <w:lang w:eastAsia="en-US"/>
        </w:rPr>
      </w:pPr>
      <w:r w:rsidRPr="008633E7">
        <w:rPr>
          <w:rFonts w:eastAsia="Calibri"/>
          <w:bCs/>
          <w:iCs/>
          <w:sz w:val="28"/>
          <w:szCs w:val="28"/>
          <w:lang w:eastAsia="en-US"/>
        </w:rPr>
        <w:t xml:space="preserve">ИП </w:t>
      </w:r>
      <w:proofErr w:type="spellStart"/>
      <w:r w:rsidRPr="008633E7">
        <w:rPr>
          <w:rFonts w:eastAsia="Calibri"/>
          <w:bCs/>
          <w:iCs/>
          <w:sz w:val="28"/>
          <w:szCs w:val="28"/>
          <w:lang w:eastAsia="en-US"/>
        </w:rPr>
        <w:t>Канумуру</w:t>
      </w:r>
      <w:proofErr w:type="spellEnd"/>
      <w:r w:rsidRPr="008633E7">
        <w:rPr>
          <w:rFonts w:eastAsia="Calibri"/>
          <w:bCs/>
          <w:iCs/>
          <w:sz w:val="28"/>
          <w:szCs w:val="28"/>
          <w:lang w:eastAsia="en-US"/>
        </w:rPr>
        <w:t xml:space="preserve"> И.Г., Казахстан, 050043, г. Алматы, мкн. </w:t>
      </w:r>
      <w:proofErr w:type="spellStart"/>
      <w:r w:rsidRPr="008633E7">
        <w:rPr>
          <w:rFonts w:eastAsia="Calibri"/>
          <w:bCs/>
          <w:iCs/>
          <w:sz w:val="28"/>
          <w:szCs w:val="28"/>
          <w:lang w:eastAsia="en-US"/>
        </w:rPr>
        <w:t>Мирас</w:t>
      </w:r>
      <w:proofErr w:type="spellEnd"/>
      <w:r w:rsidRPr="008633E7">
        <w:rPr>
          <w:rFonts w:eastAsia="Calibri"/>
          <w:bCs/>
          <w:iCs/>
          <w:sz w:val="28"/>
          <w:szCs w:val="28"/>
          <w:lang w:eastAsia="en-US"/>
        </w:rPr>
        <w:t xml:space="preserve">, д. 157, </w:t>
      </w:r>
      <w:proofErr w:type="spellStart"/>
      <w:r w:rsidRPr="008633E7">
        <w:rPr>
          <w:rFonts w:eastAsia="Calibri"/>
          <w:bCs/>
          <w:iCs/>
          <w:sz w:val="28"/>
          <w:szCs w:val="28"/>
          <w:lang w:eastAsia="en-US"/>
        </w:rPr>
        <w:t>н.п</w:t>
      </w:r>
      <w:proofErr w:type="spellEnd"/>
      <w:r w:rsidRPr="008633E7">
        <w:rPr>
          <w:rFonts w:eastAsia="Calibri"/>
          <w:bCs/>
          <w:iCs/>
          <w:sz w:val="28"/>
          <w:szCs w:val="28"/>
          <w:lang w:eastAsia="en-US"/>
        </w:rPr>
        <w:t>. 819.</w:t>
      </w:r>
      <w:r w:rsidRPr="008633E7">
        <w:rPr>
          <w:rFonts w:eastAsia="Calibri"/>
          <w:bCs/>
          <w:iCs/>
          <w:sz w:val="28"/>
          <w:szCs w:val="28"/>
          <w:lang w:eastAsia="en-US"/>
        </w:rPr>
        <w:br/>
        <w:t xml:space="preserve">Тел. +7 (727) 311-81-96/97, </w:t>
      </w:r>
    </w:p>
    <w:p w14:paraId="23EB6DE2" w14:textId="77777777" w:rsidR="009E69BC" w:rsidRPr="00F27A4D" w:rsidRDefault="00DE2137" w:rsidP="009E69BC">
      <w:pPr>
        <w:pStyle w:val="ConsPlusNormal"/>
        <w:rPr>
          <w:bCs/>
          <w:sz w:val="24"/>
          <w:szCs w:val="24"/>
        </w:rPr>
      </w:pPr>
      <w:r w:rsidRPr="008633E7">
        <w:rPr>
          <w:rFonts w:eastAsia="Calibri"/>
          <w:bCs/>
          <w:iCs/>
          <w:sz w:val="28"/>
          <w:szCs w:val="28"/>
          <w:lang w:eastAsia="en-US"/>
        </w:rPr>
        <w:t xml:space="preserve">Телефон с 24-х часовой доступностью: </w:t>
      </w:r>
      <w:r w:rsidR="009E69BC" w:rsidRPr="008633E7">
        <w:rPr>
          <w:rFonts w:eastAsia="Calibri"/>
          <w:bCs/>
          <w:iCs/>
          <w:sz w:val="28"/>
          <w:szCs w:val="28"/>
          <w:lang w:eastAsia="en-US"/>
        </w:rPr>
        <w:t>+7 747 991-19-04,</w:t>
      </w:r>
      <w:r w:rsidR="009E69BC" w:rsidRPr="008633E7">
        <w:rPr>
          <w:rFonts w:eastAsia="Calibri"/>
          <w:bCs/>
          <w:iCs/>
          <w:sz w:val="28"/>
          <w:szCs w:val="28"/>
          <w:lang w:eastAsia="en-US"/>
        </w:rPr>
        <w:br/>
        <w:t>e-</w:t>
      </w:r>
      <w:proofErr w:type="spellStart"/>
      <w:r w:rsidR="009E69BC" w:rsidRPr="008633E7">
        <w:rPr>
          <w:rFonts w:eastAsia="Calibri"/>
          <w:bCs/>
          <w:iCs/>
          <w:sz w:val="28"/>
          <w:szCs w:val="28"/>
          <w:lang w:eastAsia="en-US"/>
        </w:rPr>
        <w:t>mail</w:t>
      </w:r>
      <w:proofErr w:type="spellEnd"/>
      <w:r w:rsidR="009E69BC" w:rsidRPr="008633E7">
        <w:rPr>
          <w:rFonts w:eastAsia="Calibri"/>
          <w:bCs/>
          <w:iCs/>
          <w:sz w:val="28"/>
          <w:szCs w:val="28"/>
          <w:lang w:eastAsia="en-US"/>
        </w:rPr>
        <w:t>: irina.volovnikova@gmail.com</w:t>
      </w:r>
    </w:p>
    <w:p w14:paraId="19E32F9A" w14:textId="1CED4812" w:rsidR="00B748C4" w:rsidRDefault="00B748C4"/>
    <w:sectPr w:rsidR="00B748C4" w:rsidSect="00F97B5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3025" w14:textId="77777777" w:rsidR="001A3FD7" w:rsidRDefault="001A3FD7" w:rsidP="00D275FC">
      <w:pPr>
        <w:spacing w:after="0" w:line="240" w:lineRule="auto"/>
      </w:pPr>
      <w:r>
        <w:separator/>
      </w:r>
    </w:p>
  </w:endnote>
  <w:endnote w:type="continuationSeparator" w:id="0">
    <w:p w14:paraId="125718C4" w14:textId="77777777" w:rsidR="001A3FD7" w:rsidRDefault="001A3FD7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9EDE" w14:textId="77777777" w:rsidR="009D472B" w:rsidRDefault="001A3FD7"/>
  <w:p w14:paraId="6A5695DE" w14:textId="77777777" w:rsidR="00B748C4" w:rsidRDefault="001A3FD7">
    <w:r>
      <w:rPr>
        <w:rFonts w:ascii="Times New Roman" w:eastAsia="Times New Roman" w:hAnsi="Times New Roman"/>
      </w:rPr>
      <w:t>Решение: N085920</w:t>
    </w:r>
    <w:r>
      <w:rPr>
        <w:rFonts w:ascii="Times New Roman" w:eastAsia="Times New Roman" w:hAnsi="Times New Roman"/>
      </w:rPr>
      <w:br/>
      <w:t xml:space="preserve">Дата </w:t>
    </w:r>
    <w:r>
      <w:rPr>
        <w:rFonts w:ascii="Times New Roman" w:eastAsia="Times New Roman" w:hAnsi="Times New Roman"/>
      </w:rPr>
      <w:t>решения: 15.05.2025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</w:t>
    </w:r>
    <w:r>
      <w:rPr>
        <w:rFonts w:ascii="Times New Roman" w:eastAsia="Times New Roman" w:hAnsi="Times New Roman"/>
      </w:rPr>
      <w:t>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2A6" w14:textId="77777777" w:rsidR="009D472B" w:rsidRDefault="001A3FD7"/>
  <w:p w14:paraId="0D8F2916" w14:textId="08616F08" w:rsidR="00B748C4" w:rsidRDefault="00B748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0B06" w14:textId="77777777" w:rsidR="009D472B" w:rsidRDefault="001A3FD7"/>
  <w:p w14:paraId="55AAAC49" w14:textId="77777777" w:rsidR="00B748C4" w:rsidRDefault="001A3FD7">
    <w:r>
      <w:rPr>
        <w:rFonts w:ascii="Times New Roman" w:eastAsia="Times New Roman" w:hAnsi="Times New Roman"/>
      </w:rPr>
      <w:t>Решение: N085920</w:t>
    </w:r>
    <w:r>
      <w:rPr>
        <w:rFonts w:ascii="Times New Roman" w:eastAsia="Times New Roman" w:hAnsi="Times New Roman"/>
      </w:rPr>
      <w:br/>
      <w:t>Дата решения: 15.05.2025</w:t>
    </w:r>
    <w:r>
      <w:rPr>
        <w:rFonts w:ascii="Times New Roman" w:eastAsia="Times New Roman" w:hAnsi="Times New Roman"/>
      </w:rPr>
      <w:br/>
      <w:t xml:space="preserve">Фамилия, имя, отчество (при его наличии) </w:t>
    </w:r>
    <w:r>
      <w:rPr>
        <w:rFonts w:ascii="Times New Roman" w:eastAsia="Times New Roman" w:hAnsi="Times New Roman"/>
      </w:rPr>
      <w:t>руководителя государственного органа (или уполномоченное лицо): Байтубаев Е. Н.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</w:t>
    </w:r>
    <w:r>
      <w:rPr>
        <w:rFonts w:ascii="Times New Roman" w:eastAsia="Times New Roman" w:hAnsi="Times New Roman"/>
      </w:rPr>
      <w:t>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16B5" w14:textId="77777777" w:rsidR="001A3FD7" w:rsidRDefault="001A3FD7" w:rsidP="00D275FC">
      <w:pPr>
        <w:spacing w:after="0" w:line="240" w:lineRule="auto"/>
      </w:pPr>
      <w:r>
        <w:separator/>
      </w:r>
    </w:p>
  </w:footnote>
  <w:footnote w:type="continuationSeparator" w:id="0">
    <w:p w14:paraId="013786C7" w14:textId="77777777" w:rsidR="001A3FD7" w:rsidRDefault="001A3FD7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82CB" w14:textId="77777777" w:rsidR="007F076F" w:rsidRDefault="007F076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578C01" wp14:editId="25A2F28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3F2205" w14:textId="77777777" w:rsidR="007F076F" w:rsidRPr="00D275FC" w:rsidRDefault="007F076F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78C0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73F2205" w14:textId="77777777" w:rsidR="007F076F" w:rsidRPr="00D275FC" w:rsidRDefault="007F076F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7A1D"/>
    <w:multiLevelType w:val="hybridMultilevel"/>
    <w:tmpl w:val="EDCC55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1"/>
  </w:num>
  <w:num w:numId="5">
    <w:abstractNumId w:val="26"/>
  </w:num>
  <w:num w:numId="6">
    <w:abstractNumId w:val="7"/>
  </w:num>
  <w:num w:numId="7">
    <w:abstractNumId w:val="24"/>
  </w:num>
  <w:num w:numId="8">
    <w:abstractNumId w:val="9"/>
  </w:num>
  <w:num w:numId="9">
    <w:abstractNumId w:val="18"/>
  </w:num>
  <w:num w:numId="10">
    <w:abstractNumId w:val="10"/>
  </w:num>
  <w:num w:numId="11">
    <w:abstractNumId w:val="17"/>
  </w:num>
  <w:num w:numId="12">
    <w:abstractNumId w:val="20"/>
  </w:num>
  <w:num w:numId="13">
    <w:abstractNumId w:val="22"/>
  </w:num>
  <w:num w:numId="14">
    <w:abstractNumId w:val="14"/>
  </w:num>
  <w:num w:numId="15">
    <w:abstractNumId w:val="1"/>
  </w:num>
  <w:num w:numId="16">
    <w:abstractNumId w:val="25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12"/>
  </w:num>
  <w:num w:numId="22">
    <w:abstractNumId w:val="6"/>
  </w:num>
  <w:num w:numId="23">
    <w:abstractNumId w:val="23"/>
  </w:num>
  <w:num w:numId="24">
    <w:abstractNumId w:val="13"/>
  </w:num>
  <w:num w:numId="25">
    <w:abstractNumId w:val="11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43A1C"/>
    <w:rsid w:val="00053CE6"/>
    <w:rsid w:val="00084813"/>
    <w:rsid w:val="000852A1"/>
    <w:rsid w:val="0009156F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3FD7"/>
    <w:rsid w:val="001A5CCF"/>
    <w:rsid w:val="001B6AEC"/>
    <w:rsid w:val="001E6F4C"/>
    <w:rsid w:val="001F16AA"/>
    <w:rsid w:val="00203355"/>
    <w:rsid w:val="00211005"/>
    <w:rsid w:val="00214FC9"/>
    <w:rsid w:val="00217D41"/>
    <w:rsid w:val="00222CA6"/>
    <w:rsid w:val="00227DAE"/>
    <w:rsid w:val="00232642"/>
    <w:rsid w:val="00237697"/>
    <w:rsid w:val="002412D5"/>
    <w:rsid w:val="00250EDB"/>
    <w:rsid w:val="00256E10"/>
    <w:rsid w:val="00260413"/>
    <w:rsid w:val="00260EBC"/>
    <w:rsid w:val="00264710"/>
    <w:rsid w:val="00264B48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1384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54F"/>
    <w:rsid w:val="003879F9"/>
    <w:rsid w:val="003A035E"/>
    <w:rsid w:val="003B0285"/>
    <w:rsid w:val="003B3155"/>
    <w:rsid w:val="003B5324"/>
    <w:rsid w:val="003E13CF"/>
    <w:rsid w:val="003F5344"/>
    <w:rsid w:val="003F7EDC"/>
    <w:rsid w:val="00401032"/>
    <w:rsid w:val="00404548"/>
    <w:rsid w:val="0041162E"/>
    <w:rsid w:val="0042786D"/>
    <w:rsid w:val="00433C62"/>
    <w:rsid w:val="00434D01"/>
    <w:rsid w:val="00443104"/>
    <w:rsid w:val="00472EF5"/>
    <w:rsid w:val="0048687C"/>
    <w:rsid w:val="004A31B4"/>
    <w:rsid w:val="004C1922"/>
    <w:rsid w:val="004C462F"/>
    <w:rsid w:val="004C6CDA"/>
    <w:rsid w:val="004D49E9"/>
    <w:rsid w:val="004F692A"/>
    <w:rsid w:val="005071DA"/>
    <w:rsid w:val="00512C02"/>
    <w:rsid w:val="00523D82"/>
    <w:rsid w:val="00541A00"/>
    <w:rsid w:val="005444B2"/>
    <w:rsid w:val="00552F8B"/>
    <w:rsid w:val="0055458F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57B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432CE"/>
    <w:rsid w:val="00652BCE"/>
    <w:rsid w:val="00652E29"/>
    <w:rsid w:val="00653617"/>
    <w:rsid w:val="006619DD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11AD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76BEB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B48"/>
    <w:rsid w:val="007E702A"/>
    <w:rsid w:val="007F076F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0977"/>
    <w:rsid w:val="008633E7"/>
    <w:rsid w:val="008635C6"/>
    <w:rsid w:val="0086657B"/>
    <w:rsid w:val="00867AFA"/>
    <w:rsid w:val="00875C28"/>
    <w:rsid w:val="008832E5"/>
    <w:rsid w:val="00891711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30D7D"/>
    <w:rsid w:val="00947F4E"/>
    <w:rsid w:val="0095047E"/>
    <w:rsid w:val="00956101"/>
    <w:rsid w:val="00957307"/>
    <w:rsid w:val="00962CD6"/>
    <w:rsid w:val="00993A60"/>
    <w:rsid w:val="00996191"/>
    <w:rsid w:val="00996F90"/>
    <w:rsid w:val="009B014E"/>
    <w:rsid w:val="009D71D5"/>
    <w:rsid w:val="009E2887"/>
    <w:rsid w:val="009E5CB9"/>
    <w:rsid w:val="009E69BC"/>
    <w:rsid w:val="009F31F2"/>
    <w:rsid w:val="009F45A5"/>
    <w:rsid w:val="009F59A5"/>
    <w:rsid w:val="00A01C2E"/>
    <w:rsid w:val="00A02BB2"/>
    <w:rsid w:val="00A04052"/>
    <w:rsid w:val="00A12563"/>
    <w:rsid w:val="00A228A6"/>
    <w:rsid w:val="00A244D9"/>
    <w:rsid w:val="00A76546"/>
    <w:rsid w:val="00A8166B"/>
    <w:rsid w:val="00A8185B"/>
    <w:rsid w:val="00AA04E6"/>
    <w:rsid w:val="00AA5E2F"/>
    <w:rsid w:val="00AA7317"/>
    <w:rsid w:val="00AC2C0B"/>
    <w:rsid w:val="00AC4905"/>
    <w:rsid w:val="00AC590D"/>
    <w:rsid w:val="00AC5EA2"/>
    <w:rsid w:val="00AE7922"/>
    <w:rsid w:val="00B01011"/>
    <w:rsid w:val="00B11878"/>
    <w:rsid w:val="00B46F30"/>
    <w:rsid w:val="00B608C1"/>
    <w:rsid w:val="00B60D3D"/>
    <w:rsid w:val="00B61D95"/>
    <w:rsid w:val="00B656FD"/>
    <w:rsid w:val="00B744C9"/>
    <w:rsid w:val="00B748C4"/>
    <w:rsid w:val="00B875A1"/>
    <w:rsid w:val="00B9176C"/>
    <w:rsid w:val="00B9187F"/>
    <w:rsid w:val="00BA4B3D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46B3"/>
    <w:rsid w:val="00C47A40"/>
    <w:rsid w:val="00C5215D"/>
    <w:rsid w:val="00C566D6"/>
    <w:rsid w:val="00C771F1"/>
    <w:rsid w:val="00C839ED"/>
    <w:rsid w:val="00C84299"/>
    <w:rsid w:val="00C91310"/>
    <w:rsid w:val="00C92F14"/>
    <w:rsid w:val="00C9308C"/>
    <w:rsid w:val="00C97365"/>
    <w:rsid w:val="00CB1BB8"/>
    <w:rsid w:val="00CB34AF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17C26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21AD"/>
    <w:rsid w:val="00D93C80"/>
    <w:rsid w:val="00D96A8F"/>
    <w:rsid w:val="00DB406A"/>
    <w:rsid w:val="00DC33F0"/>
    <w:rsid w:val="00DE2137"/>
    <w:rsid w:val="00DF11A7"/>
    <w:rsid w:val="00E03E8D"/>
    <w:rsid w:val="00E271CB"/>
    <w:rsid w:val="00E34FE3"/>
    <w:rsid w:val="00E52BC1"/>
    <w:rsid w:val="00E55D6C"/>
    <w:rsid w:val="00E57396"/>
    <w:rsid w:val="00E63784"/>
    <w:rsid w:val="00E81A1B"/>
    <w:rsid w:val="00E81A86"/>
    <w:rsid w:val="00E8607B"/>
    <w:rsid w:val="00E91073"/>
    <w:rsid w:val="00E93583"/>
    <w:rsid w:val="00EA2F86"/>
    <w:rsid w:val="00EA6D39"/>
    <w:rsid w:val="00EB1D97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53350"/>
    <w:rsid w:val="00F545E0"/>
    <w:rsid w:val="00F63389"/>
    <w:rsid w:val="00F8747E"/>
    <w:rsid w:val="00F877E6"/>
    <w:rsid w:val="00F91977"/>
    <w:rsid w:val="00F92ACD"/>
    <w:rsid w:val="00F97B57"/>
    <w:rsid w:val="00FA4F7C"/>
    <w:rsid w:val="00FB0456"/>
    <w:rsid w:val="00FB47F4"/>
    <w:rsid w:val="00FD2B12"/>
    <w:rsid w:val="00FD2B9F"/>
    <w:rsid w:val="00FE1372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04D27"/>
  <w15:docId w15:val="{F1C5A8DB-F768-46FA-8C02-0DCBA4A0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semiHidden/>
    <w:unhideWhenUsed/>
    <w:rsid w:val="00F8747E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F8747E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5335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afa">
    <w:basedOn w:val="a"/>
    <w:next w:val="a"/>
    <w:link w:val="afb"/>
    <w:uiPriority w:val="10"/>
    <w:qFormat/>
    <w:rsid w:val="00F53350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b">
    <w:name w:val="Название Знак"/>
    <w:link w:val="afa"/>
    <w:uiPriority w:val="10"/>
    <w:rsid w:val="00F53350"/>
    <w:rPr>
      <w:rFonts w:ascii="Consolas" w:eastAsia="Consolas" w:hAnsi="Consolas" w:cs="Consolas"/>
    </w:rPr>
  </w:style>
  <w:style w:type="paragraph" w:customStyle="1" w:styleId="Style5">
    <w:name w:val="Style5"/>
    <w:basedOn w:val="a"/>
    <w:uiPriority w:val="99"/>
    <w:rsid w:val="00F5335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53350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5335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F5335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F53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F53350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fc">
    <w:name w:val="Table Grid"/>
    <w:basedOn w:val="a1"/>
    <w:uiPriority w:val="59"/>
    <w:rsid w:val="00F5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F5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arma@panaceabiotec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E7C9-02F7-46D5-A3B3-B13AB299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4189</Words>
  <Characters>23883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28016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46</cp:revision>
  <cp:lastPrinted>2018-03-22T06:08:00Z</cp:lastPrinted>
  <dcterms:created xsi:type="dcterms:W3CDTF">2020-01-20T04:40:00Z</dcterms:created>
  <dcterms:modified xsi:type="dcterms:W3CDTF">2025-05-16T09:31:00Z</dcterms:modified>
</cp:coreProperties>
</file>